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B49" w:rsidRDefault="00D75CA3">
      <w:pPr>
        <w:pStyle w:val="ja"/>
      </w:pPr>
      <w:r>
        <w:t>不当景品類及び不当表示防止法施行規則（暫定版）</w:t>
      </w:r>
    </w:p>
    <w:p w:rsidR="00AE0B49" w:rsidRDefault="00D75CA3">
      <w:pPr>
        <w:pStyle w:val="en"/>
      </w:pPr>
      <w:r>
        <w:t>Regulation for Enforcement of the Act against Unjustifiable Premiums and Misleading Representations (Tentative translation)</w:t>
      </w:r>
    </w:p>
    <w:p w:rsidR="00AE0B49" w:rsidRDefault="00AE0B49"/>
    <w:p w:rsidR="00AE0B49" w:rsidRDefault="00D75CA3">
      <w:pPr>
        <w:pStyle w:val="jaf"/>
      </w:pPr>
      <w:r>
        <w:t>（平成二十八年二月五日内閣府令第六号）</w:t>
      </w:r>
    </w:p>
    <w:p w:rsidR="00AE0B49" w:rsidRDefault="00D75CA3">
      <w:pPr>
        <w:pStyle w:val="enf"/>
      </w:pPr>
      <w:r>
        <w:t>(Cabinet Office Order No. 6 of February 5, 2016)</w:t>
      </w:r>
    </w:p>
    <w:p w:rsidR="00AE0B49" w:rsidRDefault="00AE0B49"/>
    <w:p w:rsidR="00AE0B49" w:rsidRDefault="00D75CA3">
      <w:pPr>
        <w:pStyle w:val="jaa"/>
      </w:pPr>
      <w:r>
        <w:t>（定義）</w:t>
      </w:r>
    </w:p>
    <w:p w:rsidR="00AE0B49" w:rsidRDefault="00D75CA3">
      <w:pPr>
        <w:pStyle w:val="ena"/>
      </w:pPr>
      <w:r>
        <w:t>(Definitions)</w:t>
      </w:r>
    </w:p>
    <w:p w:rsidR="00AE0B49" w:rsidRDefault="00D75CA3">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AE0B49" w:rsidRDefault="00D75CA3">
      <w:pPr>
        <w:pStyle w:val="enf3"/>
      </w:pPr>
      <w:r>
        <w:t>Article 1  The terms used in this Cabinet Office Order are to be governed by the terms used in the Act against Unjustifiable Premiums and Misleading Representations (hereinafter referred to as the "Act") and the Order for Enforcement of the Act against Unjustifiable Premiums and Misleading Representations (Cabinet Order No. 218 of 2009; hereinafter referred to as the "Order").</w:t>
      </w:r>
    </w:p>
    <w:p w:rsidR="00AE0B49" w:rsidRDefault="00AE0B49"/>
    <w:p w:rsidR="00AE0B49" w:rsidRDefault="00D75CA3">
      <w:pPr>
        <w:pStyle w:val="jaa"/>
      </w:pPr>
      <w:r>
        <w:t>（公聴会の公告）</w:t>
      </w:r>
    </w:p>
    <w:p w:rsidR="00AE0B49" w:rsidRDefault="00D75CA3">
      <w:pPr>
        <w:pStyle w:val="ena"/>
      </w:pPr>
      <w:r>
        <w:t>(Publication of Public Hearings)</w:t>
      </w:r>
    </w:p>
    <w:p w:rsidR="00AE0B49" w:rsidRDefault="00D75CA3">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AE0B49" w:rsidRDefault="00D75CA3">
      <w:pPr>
        <w:pStyle w:val="enf3"/>
      </w:pPr>
      <w:r>
        <w:t>Article 2  When seeking to hold a public hearing under Article 3, paragraph (1) and Article 6, paragraph (1) of the Act, the Secretary General of the Consumer Affairs Agency must give public notice of the date and place of the public hearing, the details of the matter, and guidelines for filing opinions, by publishing these in the official gazette or in a daily newspaper that publishes information about current events at least 14 days prior to the date of the hearing.</w:t>
      </w:r>
    </w:p>
    <w:p w:rsidR="00AE0B49" w:rsidRDefault="00AE0B49"/>
    <w:p w:rsidR="00AE0B49" w:rsidRDefault="00D75CA3">
      <w:pPr>
        <w:pStyle w:val="jaa"/>
      </w:pPr>
      <w:r>
        <w:t>（公述人の選定）</w:t>
      </w:r>
    </w:p>
    <w:p w:rsidR="00AE0B49" w:rsidRDefault="00D75CA3">
      <w:pPr>
        <w:pStyle w:val="ena"/>
      </w:pPr>
      <w:r>
        <w:t>(Selection of Speakers at a Public Hearing)</w:t>
      </w:r>
    </w:p>
    <w:p w:rsidR="00AE0B49" w:rsidRDefault="00D75CA3">
      <w:pPr>
        <w:pStyle w:val="jaf3"/>
      </w:pPr>
      <w:r>
        <w:t>第三条　公聴会において意見を述べることができる者は、前条の規定により意見を申し出た者のうちから消費者庁長官が選定し、本人にその旨を通知する。</w:t>
      </w:r>
    </w:p>
    <w:p w:rsidR="00AE0B49" w:rsidRDefault="00D75CA3">
      <w:pPr>
        <w:pStyle w:val="enf3"/>
      </w:pPr>
      <w:r>
        <w:t xml:space="preserve">Article 3  (1) The Secretary General of the Consumer Affairs Agency selects persons who are permitted to state an opinion at a public hearing from among </w:t>
      </w:r>
      <w:r>
        <w:lastRenderedPageBreak/>
        <w:t>those who have filed opinions pursuant to the provisions of the preceding Article, and notifies them to that effect.</w:t>
      </w:r>
    </w:p>
    <w:p w:rsidR="00AE0B49" w:rsidRDefault="00D75CA3">
      <w:pPr>
        <w:pStyle w:val="jaf4"/>
      </w:pPr>
      <w:r>
        <w:t>２　消費者庁長官は、前項の選定をする場合において、当該案件に対して、賛成者及び反対者があるときは、一方に偏らないようにこれをしなければならない。</w:t>
      </w:r>
    </w:p>
    <w:p w:rsidR="00AE0B49" w:rsidRDefault="00D75CA3">
      <w:pPr>
        <w:pStyle w:val="enf4"/>
      </w:pPr>
      <w:r>
        <w:t>(2) When making the selection referred to in the preceding paragraph, the Secretary General of the Consumer Affairs Agency must do so in a way that prevents bias towards either side, if there are both persons in favor of and persons against the matter in question.</w:t>
      </w:r>
    </w:p>
    <w:p w:rsidR="00AE0B49" w:rsidRDefault="00AE0B49"/>
    <w:p w:rsidR="00AE0B49" w:rsidRDefault="00D75CA3">
      <w:pPr>
        <w:pStyle w:val="jaa"/>
      </w:pPr>
      <w:r>
        <w:t>（公述の依頼）</w:t>
      </w:r>
    </w:p>
    <w:p w:rsidR="00AE0B49" w:rsidRDefault="00D75CA3">
      <w:pPr>
        <w:pStyle w:val="ena"/>
      </w:pPr>
      <w:r>
        <w:t>(Requesting a Person to State an Opinion at a Public Hearing)</w:t>
      </w:r>
    </w:p>
    <w:p w:rsidR="00AE0B49" w:rsidRDefault="00D75CA3">
      <w:pPr>
        <w:pStyle w:val="jaf3"/>
      </w:pPr>
      <w:r>
        <w:t>第四条　消費者庁長官は、必要があると認めるときは、学識経験者又は関係行政機関の職員に公聴会において意見を述べることを求めることができる。</w:t>
      </w:r>
    </w:p>
    <w:p w:rsidR="00AE0B49" w:rsidRDefault="00D75CA3">
      <w:pPr>
        <w:pStyle w:val="enf3"/>
      </w:pPr>
      <w:r>
        <w:t>Article 4  On finding it to be necessary, the Secretary General of the Consumer Affairs Agency may ask a person with relevant expertise or an official from a relevant administrative organization to state an opinion at a public hearing.</w:t>
      </w:r>
    </w:p>
    <w:p w:rsidR="00AE0B49" w:rsidRDefault="00AE0B49"/>
    <w:p w:rsidR="00AE0B49" w:rsidRDefault="00D75CA3">
      <w:pPr>
        <w:pStyle w:val="jaa"/>
      </w:pPr>
      <w:r>
        <w:t>（公聴会の実施）</w:t>
      </w:r>
    </w:p>
    <w:p w:rsidR="00AE0B49" w:rsidRDefault="00D75CA3">
      <w:pPr>
        <w:pStyle w:val="ena"/>
      </w:pPr>
      <w:r>
        <w:t>(Holding Public Hearings)</w:t>
      </w:r>
    </w:p>
    <w:p w:rsidR="00AE0B49" w:rsidRDefault="00D75CA3">
      <w:pPr>
        <w:pStyle w:val="jaf3"/>
      </w:pPr>
      <w:r>
        <w:t>第五条　公聴会は、消費者庁長官が指定する消費者庁の職員に主宰させることができる。</w:t>
      </w:r>
    </w:p>
    <w:p w:rsidR="00AE0B49" w:rsidRDefault="00D75CA3">
      <w:pPr>
        <w:pStyle w:val="enf3"/>
      </w:pPr>
      <w:r>
        <w:t>Article 5  (1) The Secretary General of the Consumer Affairs may have an official of the Consumer Affairs Agency designated by the Secretary General preside over a public hearing.</w:t>
      </w:r>
    </w:p>
    <w:p w:rsidR="00AE0B49" w:rsidRDefault="00D75CA3">
      <w:pPr>
        <w:pStyle w:val="jaf4"/>
      </w:pPr>
      <w:r>
        <w:t>２　前項の規定により公聴会を主宰した職員は、次条各号に掲げる事項を記載した報告書を作成し、消費者庁長官に提出するものとする。</w:t>
      </w:r>
    </w:p>
    <w:p w:rsidR="00AE0B49" w:rsidRDefault="00D75CA3">
      <w:pPr>
        <w:pStyle w:val="enf4"/>
      </w:pPr>
      <w:r>
        <w:t>(2) An official who has presided over a public hearing pursuant to the provisions of the preceding paragraph is to prepare a report that includes the information set forth in the items of the following Article and submit it to the Secretary General of the Consumer Affairs Agency.</w:t>
      </w:r>
    </w:p>
    <w:p w:rsidR="00AE0B49" w:rsidRDefault="00AE0B49"/>
    <w:p w:rsidR="00AE0B49" w:rsidRDefault="00D75CA3">
      <w:pPr>
        <w:pStyle w:val="jaa"/>
      </w:pPr>
      <w:r>
        <w:t>（公聴会の記録）</w:t>
      </w:r>
    </w:p>
    <w:p w:rsidR="00AE0B49" w:rsidRDefault="00D75CA3">
      <w:pPr>
        <w:pStyle w:val="ena"/>
      </w:pPr>
      <w:r>
        <w:t>(Public Hearing Records)</w:t>
      </w:r>
    </w:p>
    <w:p w:rsidR="00AE0B49" w:rsidRDefault="00D75CA3">
      <w:pPr>
        <w:pStyle w:val="jaf3"/>
      </w:pPr>
      <w:r>
        <w:t>第六条　消費者庁長官は、公聴会について、次に掲げる事項を記載した記録を作成するものとする。</w:t>
      </w:r>
    </w:p>
    <w:p w:rsidR="00AE0B49" w:rsidRDefault="00D75CA3">
      <w:pPr>
        <w:pStyle w:val="enf3"/>
      </w:pPr>
      <w:r>
        <w:t>Article 6  The Secretary General of the Consumer Affairs Agency is to prepare a record that includes the following information with regard to a public hearing:</w:t>
      </w:r>
    </w:p>
    <w:p w:rsidR="00AE0B49" w:rsidRDefault="00D75CA3">
      <w:pPr>
        <w:pStyle w:val="jaf6"/>
      </w:pPr>
      <w:r>
        <w:t>一　案件の内容</w:t>
      </w:r>
    </w:p>
    <w:p w:rsidR="00AE0B49" w:rsidRDefault="00D75CA3">
      <w:pPr>
        <w:pStyle w:val="enf6"/>
      </w:pPr>
      <w:r>
        <w:t>(i) the details of the matter;</w:t>
      </w:r>
    </w:p>
    <w:p w:rsidR="00AE0B49" w:rsidRDefault="00D75CA3">
      <w:pPr>
        <w:pStyle w:val="jaf6"/>
      </w:pPr>
      <w:r>
        <w:t>二　公聴会の期日及び場所</w:t>
      </w:r>
    </w:p>
    <w:p w:rsidR="00AE0B49" w:rsidRDefault="00D75CA3">
      <w:pPr>
        <w:pStyle w:val="enf6"/>
      </w:pPr>
      <w:r>
        <w:t>(ii) the date and place of the public hearing;</w:t>
      </w:r>
    </w:p>
    <w:p w:rsidR="00AE0B49" w:rsidRDefault="00D75CA3">
      <w:pPr>
        <w:pStyle w:val="jaf6"/>
      </w:pPr>
      <w:r>
        <w:t>三　公聴会において意見を述べた者の氏名、住所及び職業（法人その他の団体にあっ</w:t>
      </w:r>
      <w:r>
        <w:lastRenderedPageBreak/>
        <w:t>ては、その名称、主たる事務所の所在地及び代表者の氏名）並びにその意見の要旨</w:t>
      </w:r>
    </w:p>
    <w:p w:rsidR="00AE0B49" w:rsidRDefault="00D75CA3">
      <w:pPr>
        <w:pStyle w:val="enf6"/>
      </w:pPr>
      <w:r>
        <w:t>(iii) the names, addresses, and occupations of persons who have stated opinions at the public hearing (for a corporation or other association, this means its name, the location of its main office, and the name of its representative), and a summary of the opinions; and</w:t>
      </w:r>
    </w:p>
    <w:p w:rsidR="00AE0B49" w:rsidRDefault="00D75CA3">
      <w:pPr>
        <w:pStyle w:val="jaf6"/>
      </w:pPr>
      <w:r>
        <w:t>四　その他必要な事項</w:t>
      </w:r>
    </w:p>
    <w:p w:rsidR="00AE0B49" w:rsidRDefault="00D75CA3">
      <w:pPr>
        <w:pStyle w:val="enf6"/>
      </w:pPr>
      <w:r>
        <w:t>(iv) other necessary information.</w:t>
      </w:r>
    </w:p>
    <w:p w:rsidR="00AE0B49" w:rsidRDefault="00AE0B49"/>
    <w:p w:rsidR="00AE0B49" w:rsidRDefault="00D75CA3">
      <w:pPr>
        <w:pStyle w:val="jaa"/>
      </w:pPr>
      <w:r>
        <w:t>（法第七条第二項等の規定による資料の提出要求の手続）</w:t>
      </w:r>
    </w:p>
    <w:p w:rsidR="00AE0B49" w:rsidRDefault="00D75CA3">
      <w:pPr>
        <w:pStyle w:val="ena"/>
      </w:pPr>
      <w:r>
        <w:t>(Procedures for Requesting Persons to Submit Materials under the Provisions of Article 7, Paragraph (2) or Article 8, Paragraph (3) of the Act)</w:t>
      </w:r>
    </w:p>
    <w:p w:rsidR="00AE0B49" w:rsidRDefault="00D75CA3">
      <w:pPr>
        <w:pStyle w:val="jaf3"/>
      </w:pPr>
      <w:r>
        <w:t>第七条　消費者庁長官は、法第七条第二項又は第八条第三項の規定に基づき資料の提出を求める場合は、次に掲げる事項を記載した文書を交付して、これを行うものとする。</w:t>
      </w:r>
    </w:p>
    <w:p w:rsidR="00AE0B49" w:rsidRDefault="00D75CA3">
      <w:pPr>
        <w:pStyle w:val="enf3"/>
      </w:pPr>
      <w:r>
        <w:t>Article 7  (1) When requesting a person to submit materials in accordance with the provisions of Article 7, paragraph (2) or Article 8, paragraph (3) of the Act, the Secretary General of the Consumer Affairs Agency is to do so through the delivery of a document that includes the following information:</w:t>
      </w:r>
    </w:p>
    <w:p w:rsidR="00AE0B49" w:rsidRDefault="00D75CA3">
      <w:pPr>
        <w:pStyle w:val="jaf6"/>
      </w:pPr>
      <w:r>
        <w:t>一　事業者の氏名又は名称</w:t>
      </w:r>
    </w:p>
    <w:p w:rsidR="00AE0B49" w:rsidRDefault="00D75CA3">
      <w:pPr>
        <w:pStyle w:val="enf6"/>
      </w:pPr>
      <w:r>
        <w:t>(i) the name of the enterprise;</w:t>
      </w:r>
    </w:p>
    <w:p w:rsidR="00AE0B49" w:rsidRDefault="00D75CA3">
      <w:pPr>
        <w:pStyle w:val="jaf6"/>
      </w:pPr>
      <w:r>
        <w:t>二　資料の提出を求める表示</w:t>
      </w:r>
    </w:p>
    <w:p w:rsidR="00AE0B49" w:rsidRDefault="00D75CA3">
      <w:pPr>
        <w:pStyle w:val="enf6"/>
      </w:pPr>
      <w:r>
        <w:t>(ii) an indication requesting the submission of materials; and</w:t>
      </w:r>
    </w:p>
    <w:p w:rsidR="00AE0B49" w:rsidRDefault="00D75CA3">
      <w:pPr>
        <w:pStyle w:val="jaf6"/>
      </w:pPr>
      <w:r>
        <w:t>三　資料を提出すべき期限及び場所</w:t>
      </w:r>
    </w:p>
    <w:p w:rsidR="00AE0B49" w:rsidRDefault="00D75CA3">
      <w:pPr>
        <w:pStyle w:val="enf6"/>
      </w:pPr>
      <w:r>
        <w:t xml:space="preserve">(iii) the due date and place where the materials are to be </w:t>
      </w:r>
      <w:r>
        <w:t>submitted.</w:t>
      </w:r>
    </w:p>
    <w:p w:rsidR="00AE0B49" w:rsidRDefault="00D75CA3">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りでない。</w:t>
      </w:r>
    </w:p>
    <w:p w:rsidR="00AE0B49" w:rsidRDefault="00D75CA3">
      <w:pPr>
        <w:pStyle w:val="enf4"/>
      </w:pPr>
      <w:r>
        <w:t xml:space="preserve">(2) The period prescribed in Article 7, paragraph (2) and Article 8, paragraph (3) of the Act is the period from the day when the </w:t>
      </w:r>
      <w:r>
        <w:t>document referred to in the preceding paragraph is delivered until the date on which 15 days have elapsed from the day of its delivery; provided, however, that this does not apply if there is found be a legitimate reason for the enterprise's non-submission of the materials within that period.</w:t>
      </w:r>
    </w:p>
    <w:p w:rsidR="00AE0B49" w:rsidRDefault="00AE0B49"/>
    <w:p w:rsidR="00AE0B49" w:rsidRDefault="00D75CA3">
      <w:pPr>
        <w:pStyle w:val="jaa"/>
      </w:pPr>
      <w:r>
        <w:t>（法第八条第二項に規定する内閣府令で定める措置）</w:t>
      </w:r>
    </w:p>
    <w:p w:rsidR="00AE0B49" w:rsidRDefault="00D75CA3">
      <w:pPr>
        <w:pStyle w:val="ena"/>
      </w:pPr>
      <w:r>
        <w:t>(Measures Prescribed by Cabinet Office Order As Provided for in Article 8, Paragraph (2) of the Act)</w:t>
      </w:r>
    </w:p>
    <w:p w:rsidR="00AE0B49" w:rsidRDefault="00D75CA3">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の他の不当に顧客を誘引し、一般消費者による自主的かつ合理的な選択を阻害するおそれを解消する相当な方法により一般消費者に周知する措置とする。</w:t>
      </w:r>
    </w:p>
    <w:p w:rsidR="00AE0B49" w:rsidRDefault="00D75CA3">
      <w:pPr>
        <w:pStyle w:val="enf3"/>
      </w:pPr>
      <w:r>
        <w:t>Article 8  The measures prescribed by Cabinet Office Order that are provided for in Article 8, paragraph (2) of the Act are measures to make it available to general consumers that a representation involved in an act subject to surcharge falls under one of the items of the proviso to paragraph (1) of that Article, through publication in a daily newspaper that publishes information about current events or by any other appropriate means that eliminates the risk of unjustly inducing customer behavior and interf</w:t>
      </w:r>
      <w:r>
        <w:t>ering with general consumers' voluntary and rational choice-making.</w:t>
      </w:r>
    </w:p>
    <w:p w:rsidR="00AE0B49" w:rsidRDefault="00AE0B49"/>
    <w:p w:rsidR="00AE0B49" w:rsidRDefault="00D75CA3">
      <w:pPr>
        <w:pStyle w:val="jaa"/>
      </w:pPr>
      <w:r>
        <w:t>（法第八条第四項に規定する内閣府令で定める合理的な方法）</w:t>
      </w:r>
    </w:p>
    <w:p w:rsidR="00AE0B49" w:rsidRDefault="00D75CA3">
      <w:pPr>
        <w:pStyle w:val="ena"/>
      </w:pPr>
      <w:r>
        <w:t>(The reasonable method to be prescribed by Cabinet Office Order under Article 8, paragraph (4) of the Act)</w:t>
      </w:r>
    </w:p>
    <w:p w:rsidR="00AE0B49" w:rsidRDefault="00D75CA3">
      <w:pPr>
        <w:pStyle w:val="jaf3"/>
      </w:pPr>
      <w:r>
        <w:t>第八条の二　法第八条第四項に規定する内閣府令で定める合理的な方法は、課徴金対象期間のうち課徴金の計算の基礎となるべき事実を把握した期間における同条第一項に定める売上額を当該期間の日数で除して得た額に、課徴金対象期間のうち当該事実を把握することができない期間の日数を乗ずる方法とする。</w:t>
      </w:r>
    </w:p>
    <w:p w:rsidR="00AE0B49" w:rsidRDefault="00D75CA3">
      <w:pPr>
        <w:pStyle w:val="enf3"/>
      </w:pPr>
      <w:r>
        <w:t>Article 8-2  The reasonable method to be prescribed by Cabinet Office Order under Article 8, paragraph (4) of the Act shall be the method of multiplying the amount obtained by dividing the amount of sales specified in paragraph (1) of the same Article during a period during which the facts, on which the calculation of the surcharge is based were known, by the number of days in that period, by the number of days in that period during which the facts could not be known.</w:t>
      </w:r>
    </w:p>
    <w:p w:rsidR="00AE0B49" w:rsidRDefault="00AE0B49"/>
    <w:p w:rsidR="00AE0B49" w:rsidRDefault="00D75CA3">
      <w:pPr>
        <w:pStyle w:val="jaa"/>
      </w:pPr>
      <w:r>
        <w:t>（課徴金対象行為に該当する事実の報告の方法）</w:t>
      </w:r>
    </w:p>
    <w:p w:rsidR="00AE0B49" w:rsidRDefault="00D75CA3">
      <w:pPr>
        <w:pStyle w:val="ena"/>
      </w:pPr>
      <w:r>
        <w:t>(Methods of Reporting a Fact Constituting an Act Subject to Surcharge)</w:t>
      </w:r>
    </w:p>
    <w:p w:rsidR="00AE0B49" w:rsidRDefault="00D75CA3">
      <w:pPr>
        <w:pStyle w:val="jaf3"/>
      </w:pPr>
      <w:r>
        <w:t>第九条　法第九条の規定による報告をしようとする者は、様式第一による報告書（当該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AE0B49" w:rsidRDefault="00D75CA3">
      <w:pPr>
        <w:pStyle w:val="enf3"/>
      </w:pPr>
      <w:r>
        <w:t>Article 9  (1) A person who seeks to make a report under Article 9 of the Act must submit a report by using Form No. 1 (including an electronic or magnetic record (meaning a record used in computerized information processing which is created in electronic form, magnetic form, or any other form that cannot be perceived by the human senses; the same applies hereinafter) that records matters that should be included in the report) to the Secretary General of the Consumer Affairs Agency by one of the following m</w:t>
      </w:r>
      <w:r>
        <w:t>ethods:</w:t>
      </w:r>
    </w:p>
    <w:p w:rsidR="00AE0B49" w:rsidRDefault="00D75CA3">
      <w:pPr>
        <w:pStyle w:val="jaf6"/>
      </w:pPr>
      <w:r>
        <w:t>一　直接持参する方法</w:t>
      </w:r>
    </w:p>
    <w:p w:rsidR="00AE0B49" w:rsidRDefault="00D75CA3">
      <w:pPr>
        <w:pStyle w:val="enf6"/>
      </w:pPr>
      <w:r>
        <w:t>(i) bringing the report in person;</w:t>
      </w:r>
    </w:p>
    <w:p w:rsidR="00AE0B49" w:rsidRDefault="00D75CA3">
      <w:pPr>
        <w:pStyle w:val="jaf6"/>
      </w:pPr>
      <w:r>
        <w:t>二　書留郵便、民間事業者による信書の送達に関する法律（平成十四年法律第九十九号。第三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AE0B49" w:rsidRDefault="00D75CA3">
      <w:pPr>
        <w:pStyle w:val="enf6"/>
      </w:pPr>
      <w:r>
        <w:t>(ii) sending the report by registered mail, by correspondence delivery services prescribed in Article 2, paragraph (2) of the Act on Correspondence Delivery by Private Business Operators (Act No. 99 of 2002; referred to as the "Correspondence Delivery Act" in paragraph (3)) that a general correspondence delivery operator prescribed in paragraph (6) of that Article or a specified correspondence delivery operator prescribed in paragraph (9) of that Article provides and in which they record their acceptance an</w:t>
      </w:r>
      <w:r>
        <w:t>d delivery, or by a method equivalent to them;</w:t>
      </w:r>
    </w:p>
    <w:p w:rsidR="00AE0B49" w:rsidRDefault="00D75CA3">
      <w:pPr>
        <w:pStyle w:val="jaf6"/>
      </w:pPr>
      <w:r>
        <w:t>三　電磁的記録を情報通信技術を活用した行政の推進等に関する法律（平成十四年法律第百五十一号）第六条第一項に規定する電子情報処理組織を使用して送信する方法（以下「電磁的方法」という。）</w:t>
      </w:r>
    </w:p>
    <w:p w:rsidR="00AE0B49" w:rsidRDefault="00D75CA3">
      <w:pPr>
        <w:pStyle w:val="enf6"/>
      </w:pPr>
      <w:r>
        <w:t>(iii) transmitting the report by using a facsimile machine; or transmitting an electronic or magnetic record by using an electronic data processing system prescribed in Article 6, paragraph (1) of the Act on the Promotion of Utilizing Information and Communications Technology in Administrative Procedures (Act No. 151 of 2002) (hereinafter referred to as an "electronic or magnetic means").</w:t>
      </w:r>
    </w:p>
    <w:p w:rsidR="00AE0B49" w:rsidRDefault="00D75CA3">
      <w:pPr>
        <w:pStyle w:val="jaf4"/>
      </w:pPr>
      <w:r>
        <w:t>２　前項の報告書には、課徴金対象行為に該当する事実の内容を示す資料を添付するものとする。</w:t>
      </w:r>
    </w:p>
    <w:p w:rsidR="00AE0B49" w:rsidRDefault="00D75CA3">
      <w:pPr>
        <w:pStyle w:val="enf4"/>
      </w:pPr>
      <w:r>
        <w:t xml:space="preserve">(2) A report as referred to in the preceding paragraph </w:t>
      </w:r>
      <w:r>
        <w:t>(excluding one submitted in the way prescribed in item (iii)) is to be accompanied by materials indicating the details of the fact constituting the act subject to surcharge.</w:t>
      </w:r>
    </w:p>
    <w:p w:rsidR="00AE0B49" w:rsidRDefault="00D75CA3">
      <w:pPr>
        <w:pStyle w:val="jaf4"/>
      </w:pPr>
      <w:r>
        <w:t>３　第一項第二号に掲げる方法により同項に規定する報告書が提出された場合において、当該報告書を日本郵便株式会社の営業所（簡易郵便局法（昭和二十四年法律第二百十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より表示された日時のうち日のみが明瞭であって時刻が明瞭でないときは表示さ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AE0B49" w:rsidRDefault="00D75CA3">
      <w:pPr>
        <w:pStyle w:val="enf4"/>
      </w:pPr>
      <w:r>
        <w:t>(3) If a report as prescribed in paragraph (1) is submitted in a way set forth in item (ii) of that paragraph, it is deemed to have been submitted to the Secretary General of the Consumer Affairs Agency at the date and time that it is handed over to an office of Japan Post Co., Ltd. (including postal agencies prescribed in Article 7, paragraph (1) of the Postal Agency Act (Act No. 213 of 1949), and limited to those that conduct postal services), if the mailing receipt evidences that date and time; at the da</w:t>
      </w:r>
      <w:r>
        <w:t xml:space="preserve">te and time shown on the postmark for the postal mail or correspondence mail as prescribed in Article 2, paragraph (3) of the Correspondence Delivery Act (hereinafter referred to as the "correspondence mail" in this paragraph), if that date and time are clearly legible; at noon on the day shown on the postmark for that piece of mail or correspondence mail, if only the date is clearly legible and the time is not; and at noon on the day that is found to correspond to the day that would have been shown on the </w:t>
      </w:r>
      <w:r>
        <w:t>postmark for that piece of mail or correspondence mail based on the number of days normally needed to send it, if there is no date shown on the postmark or if the date shown on the postmark is not clearly legible.</w:t>
      </w:r>
    </w:p>
    <w:p w:rsidR="00AE0B49" w:rsidRDefault="00D75CA3">
      <w:pPr>
        <w:pStyle w:val="jaf4"/>
      </w:pPr>
      <w:r>
        <w:t>４　第一項第三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AE0B49" w:rsidRDefault="00D75CA3">
      <w:pPr>
        <w:pStyle w:val="enf4"/>
      </w:pPr>
      <w:r>
        <w:t>(4) If a report as prescribed in paragraph (1) is submitted in the way referred to in item (iii) of that paragraph, it is deemed to have been submitted to the Secretary General of the Consumer Affairs Agency when the Secretary General of the Consumer Affairs Agency receives the transmission of the report.</w:t>
      </w:r>
    </w:p>
    <w:p w:rsidR="00AE0B49" w:rsidRDefault="00AE0B49"/>
    <w:p w:rsidR="00AE0B49" w:rsidRDefault="00D75CA3">
      <w:pPr>
        <w:pStyle w:val="jaa"/>
      </w:pPr>
      <w:r>
        <w:t>（実施予定返金措置計画の認定の申請の方法）</w:t>
      </w:r>
    </w:p>
    <w:p w:rsidR="00AE0B49" w:rsidRDefault="00D75CA3">
      <w:pPr>
        <w:pStyle w:val="ena"/>
      </w:pPr>
      <w:r>
        <w:t>(Methods of Applying for Approval of an Implementation Plan for Refund Policy)</w:t>
      </w:r>
    </w:p>
    <w:p w:rsidR="00AE0B49" w:rsidRDefault="00D75CA3">
      <w:pPr>
        <w:pStyle w:val="jaf3"/>
      </w:pPr>
      <w:r>
        <w:t>第十条　法第十条第一項の規定により実施予定返金措置計画の認定を受けようとする者（第十一条第一項第二号及び第五号において「申請者」という。）は、様式第二による申請書（当該申請書に記載すべき事項を記録した電磁的記録を含む。）を消費者庁長官に提出しなければならない。</w:t>
      </w:r>
    </w:p>
    <w:p w:rsidR="00AE0B49" w:rsidRDefault="00D75CA3">
      <w:pPr>
        <w:pStyle w:val="enf3"/>
      </w:pPr>
      <w:r>
        <w:t>Article 10-1  (1) A person seeking approval for an implementation plan for refund policy pursuant to the provisions of Article 10, paragraph (1) of the Act (referred to as the "applicant" in paragraph (1), items (ii) and (iv) of Article 11) must submit an application using Form No. 2 (including an electronic or magnetic record that records matters that should be included in the written application) to the Secretary General of the Consumer Affairs Agency.</w:t>
      </w:r>
    </w:p>
    <w:p w:rsidR="00AE0B49" w:rsidRDefault="00D75CA3">
      <w:pPr>
        <w:pStyle w:val="jaf4"/>
      </w:pPr>
      <w:r>
        <w:t>２　前項の申請書には、次の各号に掲げる資料を添付するものとする。</w:t>
      </w:r>
    </w:p>
    <w:p w:rsidR="00AE0B49" w:rsidRDefault="00D75CA3">
      <w:pPr>
        <w:pStyle w:val="enf4"/>
      </w:pPr>
      <w:r>
        <w:t>(2) The application referred to in the preceding paragraph is to be accompanied by materials set forth in each of the following items:</w:t>
      </w:r>
    </w:p>
    <w:p w:rsidR="00AE0B49" w:rsidRDefault="00D75CA3">
      <w:pPr>
        <w:pStyle w:val="jaf6"/>
      </w:pPr>
      <w:r>
        <w:t>一　金銭以外の支払手段を交付する措置を実施しようとする場合にあっては、当該措置に係る支払手段が資金決済に関する法律（平成二十一年法律第五十九号）第三条第七項に規定する第三者型発行者が発行する同条第一項第一号の前払式支払手段に該当すること及び次条の基準を満たすことを明らかにする資料</w:t>
      </w:r>
    </w:p>
    <w:p w:rsidR="00AE0B49" w:rsidRDefault="00D75CA3">
      <w:pPr>
        <w:pStyle w:val="enf6"/>
      </w:pPr>
      <w:r>
        <w:t>(i) In cases where measures to deliver payment means other than money are to be implemented, materials clarifying that the payment means related to the measures fall under a prepaid payment means issued by a third-party issuer as provided for in Article 3, paragraph (7) of the Payment Services Act (Act No. 59 of 2009) as set forth in item (1), paragraph (1) of the same Article, and that the measures satisfy the criteria of the following Article;</w:t>
      </w:r>
    </w:p>
    <w:p w:rsidR="00AE0B49" w:rsidRDefault="00D75CA3">
      <w:pPr>
        <w:pStyle w:val="jaf6"/>
      </w:pPr>
      <w:r>
        <w:t>二　実施予定返金措置の対象となる者が当該実施予定返金措置の内容を把握するための周知に関する事項を示す資料</w:t>
      </w:r>
    </w:p>
    <w:p w:rsidR="00AE0B49" w:rsidRDefault="00D75CA3">
      <w:pPr>
        <w:pStyle w:val="enf6"/>
      </w:pPr>
      <w:r>
        <w:t>(ii) materials showing matters concerning publicity so that those who are subject to the planned refund policy can understand the details of the said policy;</w:t>
      </w:r>
    </w:p>
    <w:p w:rsidR="00AE0B49" w:rsidRDefault="00D75CA3">
      <w:pPr>
        <w:pStyle w:val="jaf6"/>
      </w:pPr>
      <w:r>
        <w:t>三　実施予定返金措置の実施に必要な資金の調達方法を証する資料</w:t>
      </w:r>
    </w:p>
    <w:p w:rsidR="00AE0B49" w:rsidRDefault="00D75CA3">
      <w:pPr>
        <w:pStyle w:val="enf6"/>
      </w:pPr>
      <w:r>
        <w:t>(iii) materials evidencing the means of procuring the necessary funds to implement the planned refund policy; and</w:t>
      </w:r>
    </w:p>
    <w:p w:rsidR="00AE0B49" w:rsidRDefault="00D75CA3">
      <w:pPr>
        <w:pStyle w:val="jaf6"/>
      </w:pPr>
      <w:r>
        <w:t>四　その他法第十条第一項の認定をするため参考となるべき事項を記載した資料</w:t>
      </w:r>
    </w:p>
    <w:p w:rsidR="00AE0B49" w:rsidRDefault="00D75CA3">
      <w:pPr>
        <w:pStyle w:val="enf6"/>
      </w:pPr>
      <w:r>
        <w:t>(iv) other materials giving information that should be referred to for the approval referred to in Article 10, paragraph (1) of the Act.</w:t>
      </w:r>
    </w:p>
    <w:p w:rsidR="00AE0B49" w:rsidRDefault="00AE0B49"/>
    <w:p w:rsidR="00AE0B49" w:rsidRDefault="00D75CA3">
      <w:pPr>
        <w:pStyle w:val="jaa"/>
      </w:pPr>
      <w:r>
        <w:t>（法第十条第一項に規定する内閣府令で定める基準）</w:t>
      </w:r>
    </w:p>
    <w:p w:rsidR="00AE0B49" w:rsidRDefault="00D75CA3">
      <w:pPr>
        <w:pStyle w:val="ena"/>
      </w:pPr>
      <w:r>
        <w:t>(Matters Prescribed by Cabinet Office Order As Provided for in Article 10, Paragraph (1) of the Act)</w:t>
      </w:r>
    </w:p>
    <w:p w:rsidR="00AE0B49" w:rsidRDefault="00D75CA3">
      <w:pPr>
        <w:pStyle w:val="jaf3"/>
      </w:pPr>
      <w:r>
        <w:t>第十条の二　法第十条第一項に規定する金銭と同様に通常使用することができるものとして内閣府令で定める基準は、次の各号のいずれにも該当するものとする。</w:t>
      </w:r>
    </w:p>
    <w:p w:rsidR="00AE0B49" w:rsidRDefault="00D75CA3">
      <w:pPr>
        <w:pStyle w:val="enf3"/>
      </w:pPr>
      <w:r>
        <w:t>Article 10-2  The matters prescribed by Cabinet Office Order that are provided for in Article 10, paragraph (1) of the Act for what can be used normally in the same way as money are those that fall under all of the following items:</w:t>
      </w:r>
    </w:p>
    <w:p w:rsidR="00AE0B49" w:rsidRDefault="00D75CA3">
      <w:pPr>
        <w:pStyle w:val="jaf6"/>
      </w:pPr>
      <w:r>
        <w:t>一　当該前払式支払手段を使用することができる地域の範囲その他の事情に照らして特定消費者による当該前払式支払手段の使用が困難でないこと。</w:t>
      </w:r>
    </w:p>
    <w:p w:rsidR="00AE0B49" w:rsidRDefault="00D75CA3">
      <w:pPr>
        <w:pStyle w:val="enf6"/>
      </w:pPr>
      <w:r>
        <w:t xml:space="preserve">(i) the use of the prepaid payment means by specific consumers is not difficult in light of the scope of areas in which the prepaid payment means can be used </w:t>
      </w:r>
      <w:r>
        <w:t>and other circumstances;</w:t>
      </w:r>
    </w:p>
    <w:p w:rsidR="00AE0B49" w:rsidRDefault="00D75CA3">
      <w:pPr>
        <w:pStyle w:val="jaf6"/>
      </w:pPr>
      <w:r>
        <w:t>二　当該前払式支払手段を使用することができる期間又は期限が設けられているときは、当該期間又は期限が著しく短いものでないこと。</w:t>
      </w:r>
    </w:p>
    <w:p w:rsidR="00AE0B49" w:rsidRDefault="00D75CA3">
      <w:pPr>
        <w:pStyle w:val="enf6"/>
      </w:pPr>
      <w:r>
        <w:t>(ii) if there is a period or deadline during which the prepaid payment means can be used, that period or deadline is not extremely short;</w:t>
      </w:r>
    </w:p>
    <w:p w:rsidR="00AE0B49" w:rsidRDefault="00D75CA3">
      <w:pPr>
        <w:pStyle w:val="jaf6"/>
      </w:pPr>
      <w:r>
        <w:t>三　当該前払式支払手段を使用してその代価の弁済をすることができる物品その他の財産的価値（本邦通貨及び外国通貨を除く。）又は役務の範囲が極めて限定されたものではないこと。</w:t>
      </w:r>
    </w:p>
    <w:p w:rsidR="00AE0B49" w:rsidRDefault="00D75CA3">
      <w:pPr>
        <w:pStyle w:val="enf6"/>
      </w:pPr>
      <w:r>
        <w:t>(iii) the scope of goods or other property values (excluding Japanese currency and foreign currencies) or services for which payment can be made using the prepaid payment means is not extremely limited; and</w:t>
      </w:r>
    </w:p>
    <w:p w:rsidR="00AE0B49" w:rsidRDefault="00D75CA3">
      <w:pPr>
        <w:pStyle w:val="jaf6"/>
      </w:pPr>
      <w:r>
        <w:t>四　前三号に掲げるもののほか、特定消費者の利益を不当に害するおそれがないこと。</w:t>
      </w:r>
    </w:p>
    <w:p w:rsidR="00AE0B49" w:rsidRDefault="00D75CA3">
      <w:pPr>
        <w:pStyle w:val="enf6"/>
      </w:pPr>
      <w:r>
        <w:t>(iv) in addition to the matters listed in the preceding three paragraphs, there is no risk of unduly harming the interests of specific consumers.</w:t>
      </w:r>
    </w:p>
    <w:p w:rsidR="00AE0B49" w:rsidRDefault="00AE0B49"/>
    <w:p w:rsidR="00AE0B49" w:rsidRDefault="00D75CA3">
      <w:pPr>
        <w:pStyle w:val="jaa"/>
      </w:pPr>
      <w:r>
        <w:t>（法第十条第三項に規定する内閣府令で定める事項等）</w:t>
      </w:r>
    </w:p>
    <w:p w:rsidR="00AE0B49" w:rsidRDefault="00D75CA3">
      <w:pPr>
        <w:pStyle w:val="ena"/>
      </w:pPr>
      <w:r>
        <w:t xml:space="preserve">(Matters Prescribed by Cabinet </w:t>
      </w:r>
      <w:r>
        <w:t>Office Order As Provided for in Article 10, Paragraph (3) of the Act)</w:t>
      </w:r>
    </w:p>
    <w:p w:rsidR="00AE0B49" w:rsidRDefault="00D75CA3">
      <w:pPr>
        <w:pStyle w:val="jaf3"/>
      </w:pPr>
      <w:r>
        <w:t>第十一条　法第十条第三項に規定する内閣府令で定める事項は、次に掲げる事項とする。</w:t>
      </w:r>
    </w:p>
    <w:p w:rsidR="00AE0B49" w:rsidRDefault="00D75CA3">
      <w:pPr>
        <w:pStyle w:val="enf3"/>
      </w:pPr>
      <w:r>
        <w:t>Article 11  (1) The matters prescribed by Cabinet Office Order that are provided for in Article 10, paragraph (3) of the Act are the following information:</w:t>
      </w:r>
    </w:p>
    <w:p w:rsidR="00AE0B49" w:rsidRDefault="00D75CA3">
      <w:pPr>
        <w:pStyle w:val="jaf6"/>
      </w:pPr>
      <w:r>
        <w:t>一　法第十条第一項の認定の申請前に既に実施した返金措置（次項において「認定申請前の返金措置」という。）の対象となった者の氏名又は名称</w:t>
      </w:r>
    </w:p>
    <w:p w:rsidR="00AE0B49" w:rsidRDefault="00D75CA3">
      <w:pPr>
        <w:pStyle w:val="enf6"/>
      </w:pPr>
      <w:r>
        <w:t>(i) the names of persons to whom the refund policy had already been applied before the applicant applied for the approval referred to in Article 10, paragraph (1) of the Act (referred to as the "refund policy from before the application for approval" in the following paragraph);</w:t>
      </w:r>
    </w:p>
    <w:p w:rsidR="00AE0B49" w:rsidRDefault="00D75CA3">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AE0B49" w:rsidRDefault="00D75CA3">
      <w:pPr>
        <w:pStyle w:val="enf6"/>
      </w:pPr>
      <w:r>
        <w:t>(ii) the days on which persons as prescribed in the preceding item were delivered goods or provided with services associated with an act subject to surcharge (or if the provisions of Article 2, paragraph (1) of the Order apply to the method for calculating the proceeds from sales as prescribed in Article 8, paragraph (1) of the Act for that applicant, those days mean the days on which persons as prescribed in the preceding item entered into agreements for the purchase of goods or provision of services assoc</w:t>
      </w:r>
      <w:r>
        <w:t>iated with an act subject to surcharge);</w:t>
      </w:r>
    </w:p>
    <w:p w:rsidR="00AE0B49" w:rsidRDefault="00D75CA3">
      <w:pPr>
        <w:pStyle w:val="jaf6"/>
      </w:pPr>
      <w:r>
        <w:t>三　第一号に規定する者からの法第十条第一項に規定する申出があったこと。</w:t>
      </w:r>
    </w:p>
    <w:p w:rsidR="00AE0B49" w:rsidRDefault="00D75CA3">
      <w:pPr>
        <w:pStyle w:val="enf6"/>
      </w:pPr>
      <w:r>
        <w:t>(iii) the fact that there have been requests as prescribed in Article 10, paragraph (1) of the Act from persons as prescribed in item (i);</w:t>
      </w:r>
    </w:p>
    <w:p w:rsidR="00AE0B49" w:rsidRDefault="00D75CA3">
      <w:pPr>
        <w:pStyle w:val="jaf6"/>
      </w:pPr>
      <w:r>
        <w:t>四　金銭以外の支払手段を交付した場合にあっては、第一号に規定する者から法第十条第一項に規定する承諾があったこと。</w:t>
      </w:r>
    </w:p>
    <w:p w:rsidR="00AE0B49" w:rsidRDefault="00D75CA3">
      <w:pPr>
        <w:pStyle w:val="enf6"/>
      </w:pPr>
      <w:r>
        <w:t>(iv) in the case of the delivery of payment means other than money, the person prescribed in item (i) has given consent as prescribed in Article 10, paragraph (1) of the Act;</w:t>
      </w:r>
    </w:p>
    <w:p w:rsidR="00AE0B49" w:rsidRDefault="00D75CA3">
      <w:pPr>
        <w:pStyle w:val="jaf6"/>
      </w:pPr>
      <w:r>
        <w:t>五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AE0B49" w:rsidRDefault="00D75CA3">
      <w:pPr>
        <w:pStyle w:val="enf6"/>
      </w:pPr>
      <w:r>
        <w:t xml:space="preserve">(v) the purchase price of goods or services associated with the transactions made by persons as prescribed in item (i), that is calculated by the method prescribed in Article 4 of the Order (or if the provisions of Article 2, paragraph (1) of the Order apply to the method for calculating the proceeds from sales as prescribed in Article 8, paragraph (1) of the Act for that applicant, the purchase price calculated by the method prescribed in Article 5 of the Order), and the amount equivalent to three percent </w:t>
      </w:r>
      <w:r>
        <w:t>of the purchase price;</w:t>
      </w:r>
    </w:p>
    <w:p w:rsidR="00AE0B49" w:rsidRDefault="00D75CA3">
      <w:pPr>
        <w:pStyle w:val="jaf6"/>
      </w:pPr>
      <w:r>
        <w:t>六　第一号に規定する者に対して金銭を交付した日</w:t>
      </w:r>
    </w:p>
    <w:p w:rsidR="00AE0B49" w:rsidRDefault="00D75CA3">
      <w:pPr>
        <w:pStyle w:val="enf6"/>
      </w:pPr>
      <w:r>
        <w:t>(vi) the days on which money was delivered to persons as prescribed in item (i);</w:t>
      </w:r>
    </w:p>
    <w:p w:rsidR="00AE0B49" w:rsidRDefault="00D75CA3">
      <w:pPr>
        <w:pStyle w:val="jaf6"/>
      </w:pPr>
      <w:r>
        <w:t>七　第一号に規定する者に対して交付した金銭の額及び計算方法</w:t>
      </w:r>
    </w:p>
    <w:p w:rsidR="00AE0B49" w:rsidRDefault="00D75CA3">
      <w:pPr>
        <w:pStyle w:val="enf6"/>
      </w:pPr>
      <w:r>
        <w:t>(vii) the amounts of money delivered to persons as prescribed in item (i) and the method of calculating those amounts;</w:t>
      </w:r>
    </w:p>
    <w:p w:rsidR="00AE0B49" w:rsidRDefault="00D75CA3">
      <w:pPr>
        <w:pStyle w:val="jaf6"/>
      </w:pPr>
      <w:r>
        <w:t>八　第一号に規定する者に対する金銭の交付方法</w:t>
      </w:r>
    </w:p>
    <w:p w:rsidR="00AE0B49" w:rsidRDefault="00D75CA3">
      <w:pPr>
        <w:pStyle w:val="enf6"/>
      </w:pPr>
      <w:r>
        <w:t>(viii) the ways of delivering money to persons as prescribed in item (i); and</w:t>
      </w:r>
    </w:p>
    <w:p w:rsidR="00AE0B49" w:rsidRDefault="00D75CA3">
      <w:pPr>
        <w:pStyle w:val="jaf6"/>
      </w:pPr>
      <w:r>
        <w:t>九　その他参考となるべき事項</w:t>
      </w:r>
    </w:p>
    <w:p w:rsidR="00AE0B49" w:rsidRDefault="00D75CA3">
      <w:pPr>
        <w:pStyle w:val="enf6"/>
      </w:pPr>
      <w:r>
        <w:t>(ix) other reference information.</w:t>
      </w:r>
    </w:p>
    <w:p w:rsidR="00AE0B49" w:rsidRDefault="00D75CA3">
      <w:pPr>
        <w:pStyle w:val="jaf4"/>
      </w:pPr>
      <w:r>
        <w:t>２　前項各号に掲げる事項を第十条第一項の申請書に記載する場合には、当該申請書には、認定申請前の返金措置を実施したことを証する資料（金銭以外の支払手段を交付した場合にあっては、前項第四号に定める事項を証する資料を含む。）を添付するものとする。</w:t>
      </w:r>
    </w:p>
    <w:p w:rsidR="00AE0B49" w:rsidRDefault="00D75CA3">
      <w:pPr>
        <w:pStyle w:val="enf4"/>
      </w:pPr>
      <w:r>
        <w:t>(2) If information as set forth in each item of the preceding paragraph is included in the written application referred to in paragraph (1) of Article 10, the written application is to be accompanied by materials evidencing that the refund policy has been implemented from before the application for approval (in the case where a payment means other than money is delivered, materials evidencing the matters prescribed in item (iv) of the preceding paragraph are included).</w:t>
      </w:r>
    </w:p>
    <w:p w:rsidR="00AE0B49" w:rsidRDefault="00AE0B49"/>
    <w:p w:rsidR="00AE0B49" w:rsidRDefault="00D75CA3">
      <w:pPr>
        <w:pStyle w:val="jaa"/>
      </w:pPr>
      <w:r>
        <w:t>（法第十条第四項の規定による報告の方法）</w:t>
      </w:r>
    </w:p>
    <w:p w:rsidR="00AE0B49" w:rsidRDefault="00D75CA3">
      <w:pPr>
        <w:pStyle w:val="ena"/>
      </w:pPr>
      <w:r>
        <w:t>(Methods of Filing a Report under Article 10, Paragraph (4) of the Act)</w:t>
      </w:r>
    </w:p>
    <w:p w:rsidR="00AE0B49" w:rsidRDefault="00D75CA3">
      <w:pPr>
        <w:pStyle w:val="jaf3"/>
      </w:pPr>
      <w:r>
        <w:t>第十二条　法第十条第四項の規定による報告をしようとする者（次項第二号及び第四号において「申請後認定前報告者」という。）は、様式第三による報告書（当該報告書に記載すべき事項を記録した電磁的記録を含む。）を消費者庁長官に提出しなければならない。</w:t>
      </w:r>
    </w:p>
    <w:p w:rsidR="00AE0B49" w:rsidRDefault="00D75CA3">
      <w:pPr>
        <w:pStyle w:val="enf3"/>
      </w:pPr>
      <w:r>
        <w:t>Article 12  (1) A person seeking to file a report under Article 10, paragraph (4) of the Act (referred to as the "person filing a report after application but before approval" in items (ii) and (iv) of the following paragraph) must submit a report using Form No. 3 (including an electronic or magnetic record that records matters that should be included in the written report) to the Secretary General of the Consumer Affairs Agency.</w:t>
      </w:r>
    </w:p>
    <w:p w:rsidR="00AE0B49" w:rsidRDefault="00D75CA3">
      <w:pPr>
        <w:pStyle w:val="jaf4"/>
      </w:pPr>
      <w:r>
        <w:t>２　法第十条第四項に規定する内閣府令で定める事項は、次に掲げる事項とする。</w:t>
      </w:r>
    </w:p>
    <w:p w:rsidR="00AE0B49" w:rsidRDefault="00D75CA3">
      <w:pPr>
        <w:pStyle w:val="enf4"/>
      </w:pPr>
      <w:r>
        <w:t>(2) The matters prescribed by Cabinet Office Order that are provided for in Article 10, paragraph (4) of the Act are the following information:</w:t>
      </w:r>
    </w:p>
    <w:p w:rsidR="00AE0B49" w:rsidRDefault="00D75CA3">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AE0B49" w:rsidRDefault="00D75CA3">
      <w:pPr>
        <w:pStyle w:val="enf6"/>
      </w:pPr>
      <w:r>
        <w:t>(i) the names of persons subject to the refund policy that the applicant implemented in the period after applying for approval as referred to in Article 10, paragraph (1) of the Act, but before becoming subject to a disposition on that application (referred to as the "refund policy for the period after application but before approval" in item (8) and the following paragraph);</w:t>
      </w:r>
    </w:p>
    <w:p w:rsidR="00AE0B49" w:rsidRDefault="00D75CA3">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AE0B49" w:rsidRDefault="00D75CA3">
      <w:pPr>
        <w:pStyle w:val="enf6"/>
      </w:pPr>
      <w:r>
        <w:t>(ii) the days on which persons as prescribed in the preceding item were delivered goods or provided with services associated with an act subject to surcharge (or if the provisions of Article 2, paragraph (1) of the Order apply to the method for calculating the proceeds from sales prescribed in Article 8, paragraph (1) of the Act for the person filing a report after application but before approval, those days mean the days on which persons as prescribed in the preceding item entered into agreements for the p</w:t>
      </w:r>
      <w:r>
        <w:t>urchase of goods or provision of services associated with an act subject to surcharge);</w:t>
      </w:r>
    </w:p>
    <w:p w:rsidR="00AE0B49" w:rsidRDefault="00D75CA3">
      <w:pPr>
        <w:pStyle w:val="jaf6"/>
      </w:pPr>
      <w:r>
        <w:t>三　第一号に規定する者からの法第十条第一項に規定する申出があったこと。</w:t>
      </w:r>
    </w:p>
    <w:p w:rsidR="00AE0B49" w:rsidRDefault="00D75CA3">
      <w:pPr>
        <w:pStyle w:val="enf6"/>
      </w:pPr>
      <w:r>
        <w:t>(iii) the fact that there have been requests as prescribed in Article 10, paragraph (1) of the Act from persons as prescribed in item (i);</w:t>
      </w:r>
    </w:p>
    <w:p w:rsidR="00AE0B49" w:rsidRDefault="00D75CA3">
      <w:pPr>
        <w:pStyle w:val="jaf6"/>
      </w:pPr>
      <w:r>
        <w:t>四　金銭以外の支払手段を交付した場合にあっては、第一号に規定する者から法第十条第一項に規定する承諾があったこと。</w:t>
      </w:r>
    </w:p>
    <w:p w:rsidR="00AE0B49" w:rsidRDefault="00D75CA3">
      <w:pPr>
        <w:pStyle w:val="enf6"/>
      </w:pPr>
      <w:r>
        <w:t>(iv) in the case of the delivery of payment means other than money, the person prescribed in item (i) has given consent as prescribed in Article 10, paragraph (1) of the Act;</w:t>
      </w:r>
    </w:p>
    <w:p w:rsidR="00AE0B49" w:rsidRDefault="00D75CA3">
      <w:pPr>
        <w:pStyle w:val="jaf6"/>
      </w:pPr>
      <w:r>
        <w:t>五　第一号に規定する者の取引に係る商品又は役務の令第四条で定める方法により算定した購入額（申請後認定前報告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AE0B49" w:rsidRDefault="00D75CA3">
      <w:pPr>
        <w:pStyle w:val="enf6"/>
      </w:pPr>
      <w:r>
        <w:t xml:space="preserve">(v) the purchase price of goods or services associated with the transactions made by persons as prescribed in item (i), that is calculated by the method prescribed in Article 4 of the Order (or if the provisions of Article 2, paragraph (1) of the Order apply to the method for calculating the proceeds from sales as prescribed in Article 8, paragraph (1) of the Act for that person filing a report after application but before approval, the purchase price calculated by the method prescribed in Article 5 of the </w:t>
      </w:r>
      <w:r>
        <w:t>Order), and the amount equivalent to three percent of the purchase price;</w:t>
      </w:r>
    </w:p>
    <w:p w:rsidR="00AE0B49" w:rsidRDefault="00D75CA3">
      <w:pPr>
        <w:pStyle w:val="jaf6"/>
      </w:pPr>
      <w:r>
        <w:t>六　第一号に規定する者に対して金銭を交付した日</w:t>
      </w:r>
    </w:p>
    <w:p w:rsidR="00AE0B49" w:rsidRDefault="00D75CA3">
      <w:pPr>
        <w:pStyle w:val="enf6"/>
      </w:pPr>
      <w:r>
        <w:t>(vi) the days on which money was delivered to persons as prescribed in item (i);</w:t>
      </w:r>
    </w:p>
    <w:p w:rsidR="00AE0B49" w:rsidRDefault="00D75CA3">
      <w:pPr>
        <w:pStyle w:val="jaf6"/>
      </w:pPr>
      <w:r>
        <w:t>七　第一号に規定する者に対して交付した金銭の額及び計算方法</w:t>
      </w:r>
    </w:p>
    <w:p w:rsidR="00AE0B49" w:rsidRDefault="00D75CA3">
      <w:pPr>
        <w:pStyle w:val="enf6"/>
      </w:pPr>
      <w:r>
        <w:t>(vii) the amounts of money delivered to persons as prescribed in item (i) and the method of calculating those amounts;</w:t>
      </w:r>
    </w:p>
    <w:p w:rsidR="00AE0B49" w:rsidRDefault="00D75CA3">
      <w:pPr>
        <w:pStyle w:val="jaf6"/>
      </w:pPr>
      <w:r>
        <w:t>八　第一号に規定する者に対する金銭の交付方法</w:t>
      </w:r>
    </w:p>
    <w:p w:rsidR="00AE0B49" w:rsidRDefault="00D75CA3">
      <w:pPr>
        <w:pStyle w:val="enf6"/>
      </w:pPr>
      <w:r>
        <w:t>(viii) the ways of delivering money to persons as prescribed in item (i); and</w:t>
      </w:r>
    </w:p>
    <w:p w:rsidR="00AE0B49" w:rsidRDefault="00D75CA3">
      <w:pPr>
        <w:pStyle w:val="jaf6"/>
      </w:pPr>
      <w:r>
        <w:t>九　申請後認定前の返金措置に要した資金の額及びその調達方法</w:t>
      </w:r>
    </w:p>
    <w:p w:rsidR="00AE0B49" w:rsidRDefault="00D75CA3">
      <w:pPr>
        <w:pStyle w:val="enf6"/>
      </w:pPr>
      <w:r>
        <w:t>(ix) the amount of funds needed for the refund policy for the period after application but before approval, and the means of procuring these funds; and</w:t>
      </w:r>
    </w:p>
    <w:p w:rsidR="00AE0B49" w:rsidRDefault="00D75CA3">
      <w:pPr>
        <w:pStyle w:val="jaf6"/>
      </w:pPr>
      <w:r>
        <w:t>十　その他参考となるべき事項</w:t>
      </w:r>
    </w:p>
    <w:p w:rsidR="00AE0B49" w:rsidRDefault="00D75CA3">
      <w:pPr>
        <w:pStyle w:val="enf6"/>
      </w:pPr>
      <w:r>
        <w:t xml:space="preserve">(x) other </w:t>
      </w:r>
      <w:r>
        <w:t>reference information.</w:t>
      </w:r>
    </w:p>
    <w:p w:rsidR="00AE0B49" w:rsidRDefault="00D75CA3">
      <w:pPr>
        <w:pStyle w:val="jaf4"/>
      </w:pPr>
      <w:r>
        <w:t>３　第一項の報告書には、申請後認定前の返金措置を実施したことを証する資料（金銭以外の支払手段を交付した場合にあっては、前項第四号に定める事項を証する資料を含む。）及び当該返金措置の実施に要した資金の調達方法を証する資料を添付するものとする。</w:t>
      </w:r>
    </w:p>
    <w:p w:rsidR="00AE0B49" w:rsidRDefault="00D75CA3">
      <w:pPr>
        <w:pStyle w:val="enf4"/>
      </w:pPr>
      <w:r>
        <w:t>(3) The report referred to in paragraph (1) is to be accompanied by materials evidencing that the refund policy for the period after application but before approval has been implemented (in the case where a payment means other than money is delivered, materials evidencing the matters prescribed in item (iv) of the preceding paragraph are included) and by materials evidencing the means of procuring the funds needed to implement the refund policy.</w:t>
      </w:r>
    </w:p>
    <w:p w:rsidR="00AE0B49" w:rsidRDefault="00AE0B49"/>
    <w:p w:rsidR="00AE0B49" w:rsidRDefault="00D75CA3">
      <w:pPr>
        <w:pStyle w:val="jaa"/>
      </w:pPr>
      <w:r>
        <w:t>（法第十条第五項第三号に規定する内閣府令で定める期間）</w:t>
      </w:r>
    </w:p>
    <w:p w:rsidR="00AE0B49" w:rsidRDefault="00D75CA3">
      <w:pPr>
        <w:pStyle w:val="ena"/>
      </w:pPr>
      <w:r>
        <w:t>(A Period Prescribed by Cabinet Office Order As Provided for in Article 10, Paragraph (5), Item (iii) of the Act)</w:t>
      </w:r>
    </w:p>
    <w:p w:rsidR="00AE0B49" w:rsidRDefault="00D75CA3">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る日）までの期間とする。</w:t>
      </w:r>
    </w:p>
    <w:p w:rsidR="00AE0B49" w:rsidRDefault="00D75CA3">
      <w:pPr>
        <w:pStyle w:val="enf3"/>
      </w:pPr>
      <w:r>
        <w:t>Article 13  The period prescribed by Cabinet Office Order that is provided for in Article 10, paragraph (5), item (iii) of the Act is the period from the day on which the person who has received a notice under Article 15, paragraph (1) of the Act submits an application as referred to in Article 10, paragraph (1) to the Secretary General of the Consumer Affairs Agency until the day on which four months have elapsed from the submission date (if the relevant provisions apply mutatis mutandis pursuant to Articl</w:t>
      </w:r>
      <w:r>
        <w:t>e 10, paragraph (7) of the Act, this period is from the last day of the implementation period for the implementation plan for refund policy given in the written application referred to in Article 10, paragraph (1) until the day on which one month has elapsed from that day).</w:t>
      </w:r>
    </w:p>
    <w:p w:rsidR="00AE0B49" w:rsidRDefault="00AE0B49"/>
    <w:p w:rsidR="00AE0B49" w:rsidRDefault="00D75CA3">
      <w:pPr>
        <w:pStyle w:val="jaa"/>
      </w:pPr>
      <w:r>
        <w:t>（認定実施予定返金措置計画の変更に係る認定の申請の方法）</w:t>
      </w:r>
    </w:p>
    <w:p w:rsidR="00AE0B49" w:rsidRDefault="00D75CA3">
      <w:pPr>
        <w:pStyle w:val="ena"/>
      </w:pPr>
      <w:r>
        <w:t>(Methods of Applying for Approval to Amend the Approved Implementation Plan for Refund Policy)</w:t>
      </w:r>
    </w:p>
    <w:p w:rsidR="00AE0B49" w:rsidRDefault="00D75CA3">
      <w:pPr>
        <w:pStyle w:val="jaf3"/>
      </w:pPr>
      <w:r>
        <w:t>第十四条　法第十条第六項の規定により認定実施予定返金措置計画の変更の認定を受けようとする認定事業者は、様式第四による申請書（当該申請書に記載すべき事項を記録した電磁的記録を含む。）を消費者庁長官に提出しなければならない。</w:t>
      </w:r>
    </w:p>
    <w:p w:rsidR="00AE0B49" w:rsidRDefault="00D75CA3">
      <w:pPr>
        <w:pStyle w:val="enf3"/>
      </w:pPr>
      <w:r>
        <w:t>Article 14  (1) An approved enterprise seeking approval to amend its approved implementation plan for refund policy pursuant to the provisions of Article 10, paragraph (6) of the Act must submit an application using Form No. 4 (including an electronic or magnetic record that records matters that should be included in the written application) to the Secretary General of the Consumer Affairs Agency.</w:t>
      </w:r>
    </w:p>
    <w:p w:rsidR="00AE0B49" w:rsidRDefault="00D75CA3">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AE0B49" w:rsidRDefault="00D75CA3">
      <w:pPr>
        <w:pStyle w:val="enf4"/>
      </w:pPr>
      <w:r>
        <w:t>(2) The application referred to in the preceding paragraph is to be accompanied by a copy of materials concerning a notice of approval under Article 10, paragraph (9) of the Act, and by other materials giving described or recorded information that should be referred to for the approval referred to in paragraph (6) of that Article.</w:t>
      </w:r>
    </w:p>
    <w:p w:rsidR="00AE0B49" w:rsidRDefault="00AE0B49"/>
    <w:p w:rsidR="00AE0B49" w:rsidRDefault="00D75CA3">
      <w:pPr>
        <w:pStyle w:val="jaa"/>
      </w:pPr>
      <w:r>
        <w:t>（認定実施予定返金措置計画の実施結果の報告の方法）</w:t>
      </w:r>
    </w:p>
    <w:p w:rsidR="00AE0B49" w:rsidRDefault="00D75CA3">
      <w:pPr>
        <w:pStyle w:val="ena"/>
      </w:pPr>
      <w:r>
        <w:t>(Methods of Filling a Report on the Results of Having Implemented an Approved Plan for Implementing Refund Policies)</w:t>
      </w:r>
    </w:p>
    <w:p w:rsidR="00AE0B49" w:rsidRDefault="00D75CA3">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AE0B49" w:rsidRDefault="00D75CA3">
      <w:pPr>
        <w:pStyle w:val="enf3"/>
      </w:pPr>
      <w:r>
        <w:t>Article 15  (1) A person seeking to file a report under Article 11, paragraph (1) of the Act must submit a report using Form No. 5 (including an electronic or magnetic record that records matters that should be included in the written report) to the Secretary General of the Consumer Affairs Agency.</w:t>
      </w:r>
    </w:p>
    <w:p w:rsidR="00AE0B49" w:rsidRDefault="00D75CA3">
      <w:pPr>
        <w:pStyle w:val="jaf4"/>
      </w:pPr>
      <w:r>
        <w:t>２　前項の報告書には、次の各号に掲げる資料を添付するものとする。</w:t>
      </w:r>
    </w:p>
    <w:p w:rsidR="00AE0B49" w:rsidRDefault="00D75CA3">
      <w:pPr>
        <w:pStyle w:val="enf4"/>
      </w:pPr>
      <w:r>
        <w:t>(2) The report referred to in the preceding paragraph is to be accompanied by the materials set forth in each of the following items:</w:t>
      </w:r>
    </w:p>
    <w:p w:rsidR="00AE0B49" w:rsidRDefault="00D75CA3">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AE0B49" w:rsidRDefault="00D75CA3">
      <w:pPr>
        <w:pStyle w:val="enf6"/>
      </w:pPr>
      <w:r>
        <w:t>(i) materials evidencing that the refund policy implemented after the approval referred to in Article 10, item (1) of the Act have been implemented in conformity with the approved implementation plan for refund policy (or if amendments under paragraph (6) of that Article have been approved, in conformity with the approved implementation plan for refund policy after its amendment; the same applies in the following item and the following Article);</w:t>
      </w:r>
    </w:p>
    <w:p w:rsidR="00AE0B49" w:rsidRDefault="00D75CA3">
      <w:pPr>
        <w:pStyle w:val="jaf6"/>
      </w:pPr>
      <w:r>
        <w:t>二　認定実施予定返金措置計画に係る実施予定返金措置の対象となる者が当該実施予定返金措置の内容を把握するための周知に関する実施状況を証する資料</w:t>
      </w:r>
    </w:p>
    <w:p w:rsidR="00AE0B49" w:rsidRDefault="00D75CA3">
      <w:pPr>
        <w:pStyle w:val="enf6"/>
      </w:pPr>
      <w:r>
        <w:t>(ii) materials evidencing the status of implementation for making the details of the planned refund policy that fall under the approved implementation plan for refund policy available to the persons to whom that policy is applicable, so that those persons can understand its details; and</w:t>
      </w:r>
    </w:p>
    <w:p w:rsidR="00AE0B49" w:rsidRDefault="00D75CA3">
      <w:pPr>
        <w:pStyle w:val="jaf6"/>
      </w:pPr>
      <w:r>
        <w:t>三　法第十条第一項の認定後に実施された返金措置に要した資金の調達方法を証する資料</w:t>
      </w:r>
    </w:p>
    <w:p w:rsidR="00AE0B49" w:rsidRDefault="00D75CA3">
      <w:pPr>
        <w:pStyle w:val="enf6"/>
      </w:pPr>
      <w:r>
        <w:t>(iii) materials evidencing the way of procuring the funds needed for the refund policy that was implemented after the approval referred to in Article 10, paragraph (1) of the Act.</w:t>
      </w:r>
    </w:p>
    <w:p w:rsidR="00AE0B49" w:rsidRDefault="00AE0B49"/>
    <w:p w:rsidR="00AE0B49" w:rsidRDefault="00D75CA3">
      <w:pPr>
        <w:pStyle w:val="jaa"/>
      </w:pPr>
      <w:r>
        <w:t>（法第十一条第二項に規定する内閣府令で定める金銭の額の計算）</w:t>
      </w:r>
    </w:p>
    <w:p w:rsidR="00AE0B49" w:rsidRDefault="00D75CA3">
      <w:pPr>
        <w:pStyle w:val="ena"/>
      </w:pPr>
      <w:r>
        <w:t>(Calculation of the Amount of Money Prescribed by Cabinet Office Order As Provided for in Article 11, Paragraph (2) of the Act)</w:t>
      </w:r>
    </w:p>
    <w:p w:rsidR="00AE0B49" w:rsidRDefault="00D75CA3">
      <w:pPr>
        <w:pStyle w:val="jaf3"/>
      </w:pPr>
      <w:r>
        <w:t>第十六条　法第十一条第二項に規定する内閣府令で定めるところにより計算した額は、次項に定める場合を除き、次の各号に掲げる額を合計した額とする。</w:t>
      </w:r>
    </w:p>
    <w:p w:rsidR="00AE0B49" w:rsidRDefault="00D75CA3">
      <w:pPr>
        <w:pStyle w:val="enf3"/>
      </w:pPr>
      <w:r>
        <w:t>Article 16  (1) Except in cases as prescribed in the following paragraph, the amount calculated pursuant to Cabinet Office Order that is provided for in Article 11, paragraph (2) of the Act is the aggregate of the amounts set forth in the following items:</w:t>
      </w:r>
    </w:p>
    <w:p w:rsidR="00AE0B49" w:rsidRDefault="00D75CA3">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置を含む。次号及び次項において同じ。）において交付された金銭の額が当該返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AE0B49" w:rsidRDefault="00D75CA3">
      <w:pPr>
        <w:pStyle w:val="enf6"/>
      </w:pPr>
      <w:r>
        <w:t>(i) if the amount of money delivered as per the refund policy that falls under the approved implementation plan for refund policy that the approved enterprise has implemented (or if the approved implementation plan for refund policy includes or records the matters prescribed in Article 10, paragraph (3) of the Act or if a report under paragraph (4) of that Article has been filed, the relevant plan includes any refund policy connected with the inclusion or record of those matters or with that report; the sam</w:t>
      </w:r>
      <w:r>
        <w:t>e applies in the following item and following paragraph) exceeds an amount equal to the purchase price for goods or services associated with the transactions made by persons to whom the refund policy is applicable, as calculated by the method prescribed by Article 4 of the Order (or if the provisions of Article 2, paragraph (1) of the Order apply to the method for calculating the proceeds from sales as prescribed in Article 8, paragraph (1) of the Act for a person filing a report under Article 11, paragraph</w:t>
      </w:r>
      <w:r>
        <w:t xml:space="preserve"> (1) of the Act, this means the purchase price calculated by the method prescribed in Article 5 of the Order; hereinafter referred to as the "specified purchase price"): an amount equal to the specified purchase price; and</w:t>
      </w:r>
    </w:p>
    <w:p w:rsidR="00AE0B49" w:rsidRDefault="00D75CA3">
      <w:pPr>
        <w:pStyle w:val="jaf6"/>
      </w:pPr>
      <w:r>
        <w:t>二　認定事業者が実施した認定実施予定返金措置計画に係る返金措置において交付された金銭の額が特定購入額に相当する額以下であるとき　当該返金措置において交付された金銭の額</w:t>
      </w:r>
    </w:p>
    <w:p w:rsidR="00AE0B49" w:rsidRDefault="00D75CA3">
      <w:pPr>
        <w:pStyle w:val="enf6"/>
      </w:pPr>
      <w:r>
        <w:t>(ii) if the amount of money delivered as per refund policy that falls under the approved implementation plan for refund policy that the approved enterprise has implemented is equal to or less than an amount equal to the specified purchase price: the amount of money that is delivered as per that refund policy.</w:t>
      </w:r>
    </w:p>
    <w:p w:rsidR="00AE0B49" w:rsidRDefault="00D75CA3">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措置計画にそれぞれ適合して実施されたと認めたときは、当該二以上の特定事業承継子会社等について同項に規定する内閣府令で定めるところにより計算した額は、次の各号に掲げる額を合計した額とする。</w:t>
      </w:r>
    </w:p>
    <w:p w:rsidR="00AE0B49" w:rsidRDefault="00D75CA3">
      <w:pPr>
        <w:pStyle w:val="enf4"/>
      </w:pPr>
      <w:r>
        <w:t>(2) In a case as referred to in Article 12, paragraph (4) of the Act, if there are two or more subsidiaries, etc. succeeding to specified business; two or more of them report the results of refund policies that fall under approved implementation plans for refund policy pursuant to the provisions of Article 11, paragraph (1) of the Act (hereinafter referred to as "refund policies implemented by two or more subsidiaries, etc." in this paragraph); and, pursuant to the provisions of paragraph (2) of that Articl</w:t>
      </w:r>
      <w:r>
        <w:t>e, the Secretary General of the Consumer Affairs Agency finds that the refund policies implemented by those two or more subsidiaries, etc. have been implemented in conformity with the approved implementation plan for refund policy associated with those two or more subsidiaries, etc., the amount calculated pursuant to Cabinet Office Order that is provided for in that paragraph for those two or more subsidiaries, etc. is the aggregate of the amounts set forth in the following items:</w:t>
      </w:r>
    </w:p>
    <w:p w:rsidR="00AE0B49" w:rsidRDefault="00D75CA3">
      <w:pPr>
        <w:pStyle w:val="jaf6"/>
      </w:pPr>
      <w:r>
        <w:t>一　当該二以上子会社等実施返金措置の対象となった者が同一である場合には、次のイ又はロに掲げる場合の区分に応じ、それぞれ当該イ又はロに定める額</w:t>
      </w:r>
    </w:p>
    <w:p w:rsidR="00AE0B49" w:rsidRDefault="00D75CA3">
      <w:pPr>
        <w:pStyle w:val="enf6"/>
      </w:pPr>
      <w:r>
        <w:t>(i) if the refund policies implemented by those two or more subsidiaries, etc. are applicable to the same persons, the amount prescribed in the relevant sub-item (a) or (b) below for the category set forth in that sub-item:</w:t>
      </w:r>
    </w:p>
    <w:p w:rsidR="00AE0B49" w:rsidRDefault="00D75CA3">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ロにおいて「特定交付額」という。）が特定購入額に相当する額を上回るとき　当該特定購入額に相当する額</w:t>
      </w:r>
    </w:p>
    <w:p w:rsidR="00AE0B49" w:rsidRDefault="00D75CA3">
      <w:pPr>
        <w:pStyle w:val="enf9"/>
      </w:pPr>
      <w:r>
        <w:t>(a) if the amount arrived at when the amount of money delivered as per the refund policies that the relevant subsidiaries, etc. succeeding to specified business are deemed to have implemented pursuant to the provisions of Article 13 of the Order (or zero, if there is no such refund policy) is added to the total amount of money delivered as per the refund policies implemented by the relevant two or more subsidiaries, etc. (excluding those that the above-mentioned subsidiaries, etc. succeeding to specified bu</w:t>
      </w:r>
      <w:r>
        <w:t>siness are deemed to have implemented pursuant to the provisions of that Article) (the amount so arrived is referred to as the "specified amount delivered" in (b)) exceeds an amount equal to the specified purchase price: an amount equal to the specified purchase price; or</w:t>
      </w:r>
    </w:p>
    <w:p w:rsidR="00AE0B49" w:rsidRDefault="00D75CA3">
      <w:pPr>
        <w:pStyle w:val="jaf9"/>
      </w:pPr>
      <w:r>
        <w:t>ロ　イに該当しないとき　特定交付額に相当する額</w:t>
      </w:r>
    </w:p>
    <w:p w:rsidR="00AE0B49" w:rsidRDefault="00D75CA3">
      <w:pPr>
        <w:pStyle w:val="enf9"/>
      </w:pPr>
      <w:r>
        <w:t>(b) if (a) does not apply: an amount equal to the specified amount delivered; or</w:t>
      </w:r>
    </w:p>
    <w:p w:rsidR="00AE0B49" w:rsidRDefault="00D75CA3">
      <w:pPr>
        <w:pStyle w:val="jaf6"/>
      </w:pPr>
      <w:r>
        <w:t>二　前号に該当しない場合には、次のイ又はロに掲げる場合の区分に応じ、それぞれ当該イ又はロに定める額</w:t>
      </w:r>
    </w:p>
    <w:p w:rsidR="00AE0B49" w:rsidRDefault="00D75CA3">
      <w:pPr>
        <w:pStyle w:val="enf6"/>
      </w:pPr>
      <w:r>
        <w:t>(ii) if the preceding item does not apply, the amount prescribed in the relevant sub-item (a) or (b) below for the category set forth in that sub-item:</w:t>
      </w:r>
    </w:p>
    <w:p w:rsidR="00AE0B49" w:rsidRDefault="00D75CA3">
      <w:pPr>
        <w:pStyle w:val="jaf9"/>
      </w:pPr>
      <w:r>
        <w:t>イ　当該二以上子会社等実施返金措置において交付された金銭の額が特定購入額に相当する額を上回るとき　当該特定購入額に相当する額</w:t>
      </w:r>
    </w:p>
    <w:p w:rsidR="00AE0B49" w:rsidRDefault="00D75CA3">
      <w:pPr>
        <w:pStyle w:val="enf9"/>
      </w:pPr>
      <w:r>
        <w:t>(a) if the amount of money delivered as per the refund policies implemented by the relevant two or more subsidiaries, etc. exceeds an amount equal to the specified purchase price: an amount equal to the specified purchase price; or</w:t>
      </w:r>
    </w:p>
    <w:p w:rsidR="00AE0B49" w:rsidRDefault="00D75CA3">
      <w:pPr>
        <w:pStyle w:val="jaf9"/>
      </w:pPr>
      <w:r>
        <w:t>ロ　イに該当しないとき　当該二以上子会社等実施返金措置において交付された金銭の額</w:t>
      </w:r>
    </w:p>
    <w:p w:rsidR="00AE0B49" w:rsidRDefault="00D75CA3">
      <w:pPr>
        <w:pStyle w:val="enf9"/>
      </w:pPr>
      <w:r>
        <w:t>(b) if (a) does not apply, the amount of money delivered as per the refund policies implemented by the relevant two or more subsidiaries, etc.</w:t>
      </w:r>
    </w:p>
    <w:p w:rsidR="00AE0B49" w:rsidRDefault="00AE0B49"/>
    <w:p w:rsidR="00AE0B49" w:rsidRDefault="00D75CA3">
      <w:pPr>
        <w:pStyle w:val="jaa"/>
      </w:pPr>
      <w:r>
        <w:t>（法第十二条第四項の場合において特定事業承継子会社等が二以上あるときの課徴金の額の減額等の特例）</w:t>
      </w:r>
    </w:p>
    <w:p w:rsidR="00AE0B49" w:rsidRDefault="00D75CA3">
      <w:pPr>
        <w:pStyle w:val="ena"/>
      </w:pPr>
      <w:r>
        <w:t>(Special Exceptions Such as the Reduction of Surcharges If There are Two or More Subsidiaries, etc. Succeeding to Specified Business in a Case as Referred to in Article 12, Paragraph (4) of the Act)</w:t>
      </w:r>
    </w:p>
    <w:p w:rsidR="00AE0B49" w:rsidRDefault="00D75CA3">
      <w:pPr>
        <w:pStyle w:val="jaf3"/>
      </w:pPr>
      <w:r>
        <w:t>第十七条　法第十二条第四項の場合において、特定事業承継子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後の額が零を下回るときは、当該額は、零とする。</w:t>
      </w:r>
    </w:p>
    <w:p w:rsidR="00AE0B49" w:rsidRDefault="00D75CA3">
      <w:pPr>
        <w:pStyle w:val="enf3"/>
      </w:pPr>
      <w:r>
        <w:t>Article 17  (1) In a case as referred to in Article 12, paragraph (4) of the Act, if there are two or more subsidiaries, etc. succeeding to specified business, and the amount of the surcharge is reduced for one or more of those subsidiaries, etc. pursuant to the provisions of Article 11, paragraph (2) of the Act by an amount calculated pursuant to the provisions of the preceding Article, the amount calculated pursuant to the provisions of the preceding Article is to be reduced from the amount of the surchar</w:t>
      </w:r>
      <w:r>
        <w:t>ge calculated pursuant to the provisions of Article 8, paragraph (1) and Article 9 of the Act for the subsidiaries, etc. other than the aforementioned one or more subsidiaries, etc. (those other subsidiaries, etc. are referred to as "subsidiaries, etc. succeeding to specified business that are subject to a special exception" in the following paragraph). In such a case, if the amount of the surcharge after the reduction is less than zero, the amount of the surcharge is zero.</w:t>
      </w:r>
    </w:p>
    <w:p w:rsidR="00AE0B49" w:rsidRDefault="00D75CA3">
      <w:pPr>
        <w:pStyle w:val="jaf4"/>
      </w:pPr>
      <w:r>
        <w:t>２　消費者庁長官は、前項の規定により計算した特例特定事業承継子会社等に係る課徴金の額が一万円未満となったときは、法第八条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AE0B49" w:rsidRDefault="00D75CA3">
      <w:pPr>
        <w:pStyle w:val="enf4"/>
      </w:pPr>
      <w:r>
        <w:t>(2) Notwithstanding the provisions of Article 8, paragraph (1) of the Act, the Secretary General of the Consumer Affairs Agency is not to order subsidiaries, etc. succeeding to specified business that are subject to a special exception to pay a surcharge if the amount of the surcharge for those subsidiaries, etc. as calculated pursuant to the provisions of the preceding paragraph is less than ten thousand yen. In such a case, the Secretary General of the Consumer Affairs Agency is to promptly notify them to</w:t>
      </w:r>
      <w:r>
        <w:t xml:space="preserve"> that effect in writing.</w:t>
      </w:r>
    </w:p>
    <w:p w:rsidR="00AE0B49" w:rsidRDefault="00AE0B49"/>
    <w:p w:rsidR="00AE0B49" w:rsidRDefault="00D75CA3">
      <w:pPr>
        <w:pStyle w:val="jaa"/>
      </w:pPr>
      <w:r>
        <w:t>（課徴金の納付の督促）</w:t>
      </w:r>
    </w:p>
    <w:p w:rsidR="00AE0B49" w:rsidRDefault="00D75CA3">
      <w:pPr>
        <w:pStyle w:val="ena"/>
      </w:pPr>
      <w:r>
        <w:t>(Demanding Payment of Surcharges)</w:t>
      </w:r>
    </w:p>
    <w:p w:rsidR="00AE0B49" w:rsidRDefault="00D75CA3">
      <w:pPr>
        <w:pStyle w:val="jaf3"/>
      </w:pPr>
      <w:r>
        <w:t>第十八条　法第十八条第一項の督促状は、課徴金の納付の督促を受ける者に送達しなければならない。</w:t>
      </w:r>
    </w:p>
    <w:p w:rsidR="00AE0B49" w:rsidRDefault="00D75CA3">
      <w:pPr>
        <w:pStyle w:val="enf3"/>
      </w:pPr>
      <w:r>
        <w:t>Article 18  A written demand as referred to in Article 18, paragraph (1) of the Act must be served on the person subject to the demand to pay the surcharge.</w:t>
      </w:r>
    </w:p>
    <w:p w:rsidR="00AE0B49" w:rsidRDefault="00AE0B49"/>
    <w:p w:rsidR="00AE0B49" w:rsidRDefault="00D75CA3">
      <w:pPr>
        <w:pStyle w:val="jaa"/>
      </w:pPr>
      <w:r>
        <w:t>（課徴金及び延滞金を納付すべき場合の充当の順序）</w:t>
      </w:r>
    </w:p>
    <w:p w:rsidR="00AE0B49" w:rsidRDefault="00D75CA3">
      <w:pPr>
        <w:pStyle w:val="ena"/>
      </w:pPr>
      <w:r>
        <w:t>(Order of Allocation When a Person Is Required to Pay Both a Surcharge and Delinquency Charge)</w:t>
      </w:r>
    </w:p>
    <w:p w:rsidR="00AE0B49" w:rsidRDefault="00D75CA3">
      <w:pPr>
        <w:pStyle w:val="jaf3"/>
      </w:pPr>
      <w:r>
        <w:t>第十九条　法第十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AE0B49" w:rsidRDefault="00D75CA3">
      <w:pPr>
        <w:pStyle w:val="enf3"/>
      </w:pPr>
      <w:r>
        <w:t>Article 19  If a delinquency charge is to be collected together with the surcharge pursuant to the provisions of Article 18, paragraph (2) of the Act, then the amount paid by the enterprise is first allocated to the surcharge that serves as the basis for calculation of the delinquency charge, until the full amount of that surcharge is paid.</w:t>
      </w:r>
    </w:p>
    <w:p w:rsidR="00AE0B49" w:rsidRDefault="00AE0B49"/>
    <w:p w:rsidR="00AE0B49" w:rsidRDefault="00D75CA3">
      <w:pPr>
        <w:pStyle w:val="jaa"/>
      </w:pPr>
      <w:r>
        <w:t>（課徴金納付命令の執行の命令の方式等）</w:t>
      </w:r>
    </w:p>
    <w:p w:rsidR="00AE0B49" w:rsidRDefault="00D75CA3">
      <w:pPr>
        <w:pStyle w:val="ena"/>
      </w:pPr>
      <w:r>
        <w:t>(Formalities of an Order to Execute a Payment Order for a Surcharge)</w:t>
      </w:r>
    </w:p>
    <w:p w:rsidR="00AE0B49" w:rsidRDefault="00D75CA3">
      <w:pPr>
        <w:pStyle w:val="jaf3"/>
      </w:pPr>
      <w:r>
        <w:t>第二十条　法第十九条第一項の規定による課徴金納付命令の執行の命令は、文書をもって行わなければならない。</w:t>
      </w:r>
    </w:p>
    <w:p w:rsidR="00AE0B49" w:rsidRDefault="00D75CA3">
      <w:pPr>
        <w:pStyle w:val="enf3"/>
      </w:pPr>
      <w:r>
        <w:t>Article 20  (1) An order to execute a payment order for a surcharge under Article 19, paragraph (1) of the Act must be issued in writing.</w:t>
      </w:r>
    </w:p>
    <w:p w:rsidR="00AE0B49" w:rsidRDefault="00D75CA3">
      <w:pPr>
        <w:pStyle w:val="jaf4"/>
      </w:pPr>
      <w:r>
        <w:t>２　前項の命令書の謄本は、課徴金納付命令の執行を受ける者に送達しなければならない。</w:t>
      </w:r>
    </w:p>
    <w:p w:rsidR="00AE0B49" w:rsidRDefault="00D75CA3">
      <w:pPr>
        <w:pStyle w:val="enf4"/>
      </w:pPr>
      <w:r>
        <w:t>(2) A certified copy of the written order referred to in the preceding paragraph must be served on the person subject to the execution of the payment order for a surcharge.</w:t>
      </w:r>
    </w:p>
    <w:p w:rsidR="00AE0B49" w:rsidRDefault="00AE0B49"/>
    <w:p w:rsidR="00AE0B49" w:rsidRDefault="00D75CA3">
      <w:pPr>
        <w:pStyle w:val="jaa"/>
      </w:pPr>
      <w:r>
        <w:t>（身分を示す証明書）</w:t>
      </w:r>
    </w:p>
    <w:p w:rsidR="00AE0B49" w:rsidRDefault="00D75CA3">
      <w:pPr>
        <w:pStyle w:val="ena"/>
      </w:pPr>
      <w:r>
        <w:t>(Identification Cards)</w:t>
      </w:r>
    </w:p>
    <w:p w:rsidR="00AE0B49" w:rsidRDefault="00D75CA3">
      <w:pPr>
        <w:pStyle w:val="jaf3"/>
      </w:pPr>
      <w:r>
        <w:t>第二十一条　法第二十五条第二項の身分を示す証明書は、様式第六によるものとする。</w:t>
      </w:r>
    </w:p>
    <w:p w:rsidR="00AE0B49" w:rsidRDefault="00D75CA3">
      <w:pPr>
        <w:pStyle w:val="enf3"/>
      </w:pPr>
      <w:r>
        <w:t>Article 21-1  The identification cards referred to in Article 25, paragraph (2) of the Act are to be based on Form No. 6.</w:t>
      </w:r>
    </w:p>
    <w:p w:rsidR="00AE0B49" w:rsidRDefault="00AE0B49"/>
    <w:p w:rsidR="00AE0B49" w:rsidRDefault="00D75CA3">
      <w:pPr>
        <w:pStyle w:val="jaa"/>
      </w:pPr>
      <w:r>
        <w:t>（法第三十五条第一項の規定による資料開示要請に係る手続）</w:t>
      </w:r>
    </w:p>
    <w:p w:rsidR="00AE0B49" w:rsidRDefault="00D75CA3">
      <w:pPr>
        <w:pStyle w:val="ena"/>
      </w:pPr>
      <w:r>
        <w:t xml:space="preserve">(Procedures for Requesting Persons to Disclosure Materials under Article 35, </w:t>
      </w:r>
      <w:r>
        <w:t>paragraph (1) of the Act)</w:t>
      </w:r>
    </w:p>
    <w:p w:rsidR="00AE0B49" w:rsidRDefault="00D75CA3">
      <w:pPr>
        <w:pStyle w:val="jaf3"/>
      </w:pPr>
      <w:r>
        <w:t>第二十一条の二　法第三十五条第一項の規定による要請は、次に掲げる事項を記載した書面を交付し、又はこれを記録した電磁的記録を提供して行うものとする。</w:t>
      </w:r>
    </w:p>
    <w:p w:rsidR="00AE0B49" w:rsidRDefault="00D75CA3">
      <w:pPr>
        <w:pStyle w:val="enf3"/>
      </w:pPr>
      <w:r>
        <w:t>Article 21-2  A request under Article 35, paragraph (1) of the Act shall be made by submitting a document stating the following items or by providing an electromagnetic record of said document:</w:t>
      </w:r>
    </w:p>
    <w:p w:rsidR="00AE0B49" w:rsidRDefault="00D75CA3">
      <w:pPr>
        <w:pStyle w:val="jaf6"/>
      </w:pPr>
      <w:r>
        <w:t>一　名称及び所在地並びに代表者の氏名</w:t>
      </w:r>
    </w:p>
    <w:p w:rsidR="00AE0B49" w:rsidRDefault="00D75CA3">
      <w:pPr>
        <w:pStyle w:val="enf6"/>
      </w:pPr>
      <w:r>
        <w:t>(i) name and location, as well as the representative's name;</w:t>
      </w:r>
    </w:p>
    <w:p w:rsidR="00AE0B49" w:rsidRDefault="00D75CA3">
      <w:pPr>
        <w:pStyle w:val="jaf6"/>
      </w:pPr>
      <w:r>
        <w:t>二　電話番号、電子メールアドレス（電子メールの利用者を識別するための文字、番号、記号その他の符号をいう。）及びファクシミリの番号（消費者契約法（平成十二年法律第六十一号）第十三条第一項に規定する差止請求関係業務においてファクシミリ装置を用いて送受信しようとする場合に限る。）</w:t>
      </w:r>
    </w:p>
    <w:p w:rsidR="00AE0B49" w:rsidRDefault="00D75CA3">
      <w:pPr>
        <w:pStyle w:val="enf6"/>
      </w:pPr>
      <w:r>
        <w:t>(ii) telephone number, email address (letters, numbers, symbols, or other codes for identifying the email user), and facsimile number (only when sending or receiving matters using a facsimile machine in the business related to injunction request provided for in Article 13, paragraph (1) of the Consumer Contract Act (Act No. 61 of 2000));</w:t>
      </w:r>
    </w:p>
    <w:p w:rsidR="00AE0B49" w:rsidRDefault="00D75CA3">
      <w:pPr>
        <w:pStyle w:val="jaf6"/>
      </w:pPr>
      <w:r>
        <w:t>三　当該事業者の氏名又は名称</w:t>
      </w:r>
    </w:p>
    <w:p w:rsidR="00AE0B49" w:rsidRDefault="00D75CA3">
      <w:pPr>
        <w:pStyle w:val="enf6"/>
      </w:pPr>
      <w:r>
        <w:t>(iii) the name of the enterprise;</w:t>
      </w:r>
    </w:p>
    <w:p w:rsidR="00AE0B49" w:rsidRDefault="00D75CA3">
      <w:pPr>
        <w:pStyle w:val="jaf6"/>
      </w:pPr>
      <w:r>
        <w:t>四　法第三十五条第一項の規定による要請である旨</w:t>
      </w:r>
    </w:p>
    <w:p w:rsidR="00AE0B49" w:rsidRDefault="00D75CA3">
      <w:pPr>
        <w:pStyle w:val="enf6"/>
      </w:pPr>
      <w:r>
        <w:t>(iv) a statement that the request is made pursuant to the provisions of Article 35, paragraph (1) of the Act;</w:t>
      </w:r>
    </w:p>
    <w:p w:rsidR="00AE0B49" w:rsidRDefault="00D75CA3">
      <w:pPr>
        <w:pStyle w:val="jaf6"/>
      </w:pPr>
      <w:r>
        <w:t>五　要請の理由</w:t>
      </w:r>
    </w:p>
    <w:p w:rsidR="00AE0B49" w:rsidRDefault="00D75CA3">
      <w:pPr>
        <w:pStyle w:val="enf6"/>
      </w:pPr>
      <w:r>
        <w:t>(v) reasons for the request;</w:t>
      </w:r>
    </w:p>
    <w:p w:rsidR="00AE0B49" w:rsidRDefault="00D75CA3">
      <w:pPr>
        <w:pStyle w:val="jaf6"/>
      </w:pPr>
      <w:r>
        <w:t>六　合理的な根拠を示す資料の開示を要請する表示</w:t>
      </w:r>
    </w:p>
    <w:p w:rsidR="00AE0B49" w:rsidRDefault="00D75CA3">
      <w:pPr>
        <w:pStyle w:val="enf6"/>
      </w:pPr>
      <w:r>
        <w:t>(vi) indication of request for disclosure of materials showing reasonable grounds; and</w:t>
      </w:r>
    </w:p>
    <w:p w:rsidR="00AE0B49" w:rsidRDefault="00D75CA3">
      <w:pPr>
        <w:pStyle w:val="jaf6"/>
      </w:pPr>
      <w:r>
        <w:t>七　希望する開示の実施の方法</w:t>
      </w:r>
    </w:p>
    <w:p w:rsidR="00AE0B49" w:rsidRDefault="00D75CA3">
      <w:pPr>
        <w:pStyle w:val="enf6"/>
      </w:pPr>
      <w:r>
        <w:t>(vii) how to make the disclosure you wish to make.</w:t>
      </w:r>
    </w:p>
    <w:p w:rsidR="00AE0B49" w:rsidRDefault="00AE0B49"/>
    <w:p w:rsidR="00AE0B49" w:rsidRDefault="00D75CA3">
      <w:pPr>
        <w:pStyle w:val="jaa"/>
      </w:pPr>
      <w:r>
        <w:t>（協定又は規約の認定の申請）</w:t>
      </w:r>
    </w:p>
    <w:p w:rsidR="00AE0B49" w:rsidRDefault="00D75CA3">
      <w:pPr>
        <w:pStyle w:val="ena"/>
      </w:pPr>
      <w:r>
        <w:t>(Applying for Approval of Agreements and Rules)</w:t>
      </w:r>
    </w:p>
    <w:p w:rsidR="00AE0B49" w:rsidRDefault="00D75CA3">
      <w:pPr>
        <w:pStyle w:val="jaf3"/>
      </w:pPr>
      <w:r>
        <w:t>第二十二条　法第三十六条第一項の規定により協定又は規約の認定を受けようとするものは、様式第七による協定又は規約認定申請書正本及び副本各一通並びに当該協定又は規約の写し二通を、公正取引委員会又は消費者庁長官のいずれかに提出しなければならない。</w:t>
      </w:r>
    </w:p>
    <w:p w:rsidR="00AE0B49" w:rsidRDefault="00D75CA3">
      <w:pPr>
        <w:pStyle w:val="enf3"/>
      </w:pPr>
      <w:r>
        <w:t>Article 22  (1) A person seeking approval for an agreement or rule pursuant to the provisions of Article 36, paragraph (1) of the Act must submit one original copy and one duplicate copy of a written agreement or rule approval application using Form No. 7, and two copies of the agreement or rule to either the Fair Trade Commission or the Secretary General of the Consumer Affairs Agency.</w:t>
      </w:r>
    </w:p>
    <w:p w:rsidR="00AE0B49" w:rsidRDefault="00D75CA3">
      <w:pPr>
        <w:pStyle w:val="jaf4"/>
      </w:pPr>
      <w:r>
        <w:t>２　前項に規定するものは、同項の規定による書類の提出に代えて、当該書類に記載すべき事項を電磁的方法により提供することができる。この場合において、当該同項に規定するものは、当該書類を提出したものとみなす。</w:t>
      </w:r>
    </w:p>
    <w:p w:rsidR="00AE0B49" w:rsidRDefault="00D75CA3">
      <w:pPr>
        <w:pStyle w:val="enf4"/>
      </w:pPr>
      <w:r>
        <w:t>(2) In lieu of submitting documents pursuant to the provisions of the preceding paragraph, the person prescribed in the preceding paragraph may provide the matters to be included in those documents by electronic or magnetic means. In this case, that person is deemed to have submitted those documents.</w:t>
      </w:r>
    </w:p>
    <w:p w:rsidR="00AE0B49" w:rsidRDefault="00AE0B49"/>
    <w:p w:rsidR="00AE0B49" w:rsidRDefault="00D75CA3">
      <w:pPr>
        <w:pStyle w:val="jaa"/>
      </w:pPr>
      <w:r>
        <w:t>（協定又は規約に関する処分の告示）</w:t>
      </w:r>
    </w:p>
    <w:p w:rsidR="00AE0B49" w:rsidRDefault="00D75CA3">
      <w:pPr>
        <w:pStyle w:val="ena"/>
      </w:pPr>
      <w:r>
        <w:t xml:space="preserve">(Issuing Public Notice of Dispositions Relating to </w:t>
      </w:r>
      <w:r>
        <w:t>Agreements and Rules)</w:t>
      </w:r>
    </w:p>
    <w:p w:rsidR="00AE0B49" w:rsidRDefault="00D75CA3">
      <w:pPr>
        <w:pStyle w:val="jaf3"/>
      </w:pPr>
      <w:r>
        <w:t>第二十三条　法第三十六条第四項の規定による協定又は規約の認定の告示は、次に掲げる事項を官報に掲載してするものとする。</w:t>
      </w:r>
    </w:p>
    <w:p w:rsidR="00AE0B49" w:rsidRDefault="00D75CA3">
      <w:pPr>
        <w:pStyle w:val="enf3"/>
      </w:pPr>
      <w:r>
        <w:t>Article 23  (1) Public notice of the approval of an agreement or a rule under Article 36, paragraph (4) of the Act is to be issued through the publication of the following information in the official gazette:</w:t>
      </w:r>
    </w:p>
    <w:p w:rsidR="00AE0B49" w:rsidRDefault="00D75CA3">
      <w:pPr>
        <w:pStyle w:val="jaf6"/>
      </w:pPr>
      <w:r>
        <w:t>一　認定があった旨</w:t>
      </w:r>
    </w:p>
    <w:p w:rsidR="00AE0B49" w:rsidRDefault="00D75CA3">
      <w:pPr>
        <w:pStyle w:val="enf6"/>
      </w:pPr>
      <w:r>
        <w:t>(i) an indication that approval has been granted;</w:t>
      </w:r>
    </w:p>
    <w:p w:rsidR="00AE0B49" w:rsidRDefault="00D75CA3">
      <w:pPr>
        <w:pStyle w:val="jaf6"/>
      </w:pPr>
      <w:r>
        <w:t>二　当該協定又は規約に係る事業の種類</w:t>
      </w:r>
    </w:p>
    <w:p w:rsidR="00AE0B49" w:rsidRDefault="00D75CA3">
      <w:pPr>
        <w:pStyle w:val="enf6"/>
      </w:pPr>
      <w:r>
        <w:t>(ii) the type of business to which the agreement or rule pertains;</w:t>
      </w:r>
    </w:p>
    <w:p w:rsidR="00AE0B49" w:rsidRDefault="00D75CA3">
      <w:pPr>
        <w:pStyle w:val="jaf6"/>
      </w:pPr>
      <w:r>
        <w:t>三　当該協定又は規約の内容</w:t>
      </w:r>
    </w:p>
    <w:p w:rsidR="00AE0B49" w:rsidRDefault="00D75CA3">
      <w:pPr>
        <w:pStyle w:val="enf6"/>
      </w:pPr>
      <w:r>
        <w:t>(iii) the substance of the agreement or rule; and</w:t>
      </w:r>
    </w:p>
    <w:p w:rsidR="00AE0B49" w:rsidRDefault="00D75CA3">
      <w:pPr>
        <w:pStyle w:val="jaf6"/>
      </w:pPr>
      <w:r>
        <w:t>四　認定の理由</w:t>
      </w:r>
    </w:p>
    <w:p w:rsidR="00AE0B49" w:rsidRDefault="00D75CA3">
      <w:pPr>
        <w:pStyle w:val="enf6"/>
      </w:pPr>
      <w:r>
        <w:t>(iv) the grounds for approval.</w:t>
      </w:r>
    </w:p>
    <w:p w:rsidR="00AE0B49" w:rsidRDefault="00D75CA3">
      <w:pPr>
        <w:pStyle w:val="jaf4"/>
      </w:pPr>
      <w:r>
        <w:t>２　法第三十六条第四項の規定による協定又は規約の認定の取消しの告示は、次に掲げる事項を官報に掲載してするものとする。</w:t>
      </w:r>
    </w:p>
    <w:p w:rsidR="00AE0B49" w:rsidRDefault="00D75CA3">
      <w:pPr>
        <w:pStyle w:val="enf4"/>
      </w:pPr>
      <w:r>
        <w:t>(2) Public notice of the revocation of approval of an agreement or rule under Article 36, paragraph (4) of the Act is to be issued through the publication of the following information in the official gazette:</w:t>
      </w:r>
    </w:p>
    <w:p w:rsidR="00AE0B49" w:rsidRDefault="00D75CA3">
      <w:pPr>
        <w:pStyle w:val="jaf6"/>
      </w:pPr>
      <w:r>
        <w:t>一　取消しがあった旨</w:t>
      </w:r>
    </w:p>
    <w:p w:rsidR="00AE0B49" w:rsidRDefault="00D75CA3">
      <w:pPr>
        <w:pStyle w:val="enf6"/>
      </w:pPr>
      <w:r>
        <w:t>(i) an indication that an approval has been revoked;</w:t>
      </w:r>
    </w:p>
    <w:p w:rsidR="00AE0B49" w:rsidRDefault="00D75CA3">
      <w:pPr>
        <w:pStyle w:val="jaf6"/>
      </w:pPr>
      <w:r>
        <w:t>二　当該協定又は規約に係る事業の種類</w:t>
      </w:r>
    </w:p>
    <w:p w:rsidR="00AE0B49" w:rsidRDefault="00D75CA3">
      <w:pPr>
        <w:pStyle w:val="enf6"/>
      </w:pPr>
      <w:r>
        <w:t>(ii) the type of business to which the agreement or rule pertains; and</w:t>
      </w:r>
    </w:p>
    <w:p w:rsidR="00AE0B49" w:rsidRDefault="00D75CA3">
      <w:pPr>
        <w:pStyle w:val="jaf6"/>
      </w:pPr>
      <w:r>
        <w:t>三　取消しの理由</w:t>
      </w:r>
    </w:p>
    <w:p w:rsidR="00AE0B49" w:rsidRDefault="00D75CA3">
      <w:pPr>
        <w:pStyle w:val="enf6"/>
      </w:pPr>
      <w:r>
        <w:t>(iii) the grounds for the revocation.</w:t>
      </w:r>
    </w:p>
    <w:p w:rsidR="00AE0B49" w:rsidRDefault="00AE0B49"/>
    <w:p w:rsidR="00AE0B49" w:rsidRDefault="00D75CA3">
      <w:pPr>
        <w:pStyle w:val="jaa"/>
      </w:pPr>
      <w:r>
        <w:t>（通知を受けるべき者の届出）</w:t>
      </w:r>
    </w:p>
    <w:p w:rsidR="00AE0B49" w:rsidRDefault="00D75CA3">
      <w:pPr>
        <w:pStyle w:val="ena"/>
      </w:pPr>
      <w:r>
        <w:t>(Filing Notification of the Person Who Should Receive a Notice)</w:t>
      </w:r>
    </w:p>
    <w:p w:rsidR="00AE0B49" w:rsidRDefault="00D75CA3">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AE0B49" w:rsidRDefault="00D75CA3">
      <w:pPr>
        <w:pStyle w:val="enf3"/>
      </w:pPr>
      <w:r>
        <w:t>Article 24  A person that has received an approval for an agreement or rule must file a notification of the name and address of the person that should be notified of anything that concerns the approval with either the Fair Trade Commission or the Secretary General of the Consumer Affairs Agency.</w:t>
      </w:r>
    </w:p>
    <w:p w:rsidR="00AE0B49" w:rsidRDefault="00AE0B49"/>
    <w:p w:rsidR="00AE0B49" w:rsidRDefault="00D75CA3">
      <w:pPr>
        <w:pStyle w:val="jaa"/>
      </w:pPr>
      <w:r>
        <w:t>（公正取引委員会又は消費者庁長官に提出する資料の作成）</w:t>
      </w:r>
    </w:p>
    <w:p w:rsidR="00AE0B49" w:rsidRDefault="00D75CA3">
      <w:pPr>
        <w:pStyle w:val="ena"/>
      </w:pPr>
      <w:r>
        <w:t>(Preparing Materials for Submission to the Fair Trade Commission or the Secretary General of the Consumer Affairs Agency)</w:t>
      </w:r>
    </w:p>
    <w:p w:rsidR="00AE0B49" w:rsidRDefault="00D75CA3">
      <w:pPr>
        <w:pStyle w:val="jaf3"/>
      </w:pPr>
      <w:r>
        <w:t>第二十五条　この府令の規定により公正取引委員会又は消費者庁長官に提出する資料は、日本語で作成するものとする。</w:t>
      </w:r>
    </w:p>
    <w:p w:rsidR="00AE0B49" w:rsidRDefault="00D75CA3">
      <w:pPr>
        <w:pStyle w:val="enf3"/>
      </w:pPr>
      <w:r>
        <w:t>Article 25  Materials that are submitted to the Fair Trade Commission or the Secretary General of the Consumer Affairs Agency pursuant to the provisions of this Cabinet Office Order are to be prepared in Japanese.</w:t>
      </w:r>
    </w:p>
    <w:p w:rsidR="00AE0B49" w:rsidRDefault="00AE0B49"/>
    <w:p w:rsidR="00AE0B49" w:rsidRDefault="00D75CA3">
      <w:pPr>
        <w:pStyle w:val="ja2"/>
      </w:pPr>
      <w:r>
        <w:t>附　則　〔令和六年四月十八日内閣府令第五十四号〕</w:t>
      </w:r>
    </w:p>
    <w:p w:rsidR="00AE0B49" w:rsidRDefault="00D75CA3">
      <w:pPr>
        <w:pStyle w:val="en2"/>
      </w:pPr>
      <w:r>
        <w:t>Supplementary Provisions  [Cabinet Office Order No. 54 of 2024]</w:t>
      </w:r>
    </w:p>
    <w:p w:rsidR="00AE0B49" w:rsidRDefault="00AE0B49"/>
    <w:p w:rsidR="00AE0B49" w:rsidRDefault="00D75CA3">
      <w:pPr>
        <w:pStyle w:val="jaf5"/>
      </w:pPr>
      <w:r>
        <w:t>この府令は、不当景品類及び不当表示防止法の一部を改正する法律の施行の日から施行する。</w:t>
      </w:r>
    </w:p>
    <w:p w:rsidR="00AE0B49" w:rsidRDefault="00D75CA3">
      <w:pPr>
        <w:pStyle w:val="enf5"/>
      </w:pPr>
      <w:r>
        <w:t>This Cabinet Office Order shall come into effect as of the date of enforcement of the Act Partially Amending the Act against Unjustifiable Premiums and Misleading Representations.</w:t>
      </w:r>
    </w:p>
    <w:p w:rsidR="00AE0B49" w:rsidRDefault="00AE0B49"/>
    <w:p w:rsidR="00AE0B49" w:rsidRDefault="00D75CA3">
      <w:pPr>
        <w:pStyle w:val="jaff8"/>
      </w:pPr>
      <w:r>
        <w:t>様式第一　略</w:t>
      </w:r>
    </w:p>
    <w:p w:rsidR="00AE0B49" w:rsidRDefault="00D75CA3">
      <w:pPr>
        <w:pStyle w:val="enff8"/>
      </w:pPr>
      <w:r>
        <w:t>Form No.1 Omitted</w:t>
      </w:r>
    </w:p>
    <w:p w:rsidR="00AE0B49" w:rsidRDefault="00AE0B49"/>
    <w:p w:rsidR="00AE0B49" w:rsidRDefault="00D75CA3">
      <w:pPr>
        <w:pStyle w:val="jaff8"/>
      </w:pPr>
      <w:r>
        <w:t>様式第二　略</w:t>
      </w:r>
    </w:p>
    <w:p w:rsidR="00AE0B49" w:rsidRDefault="00D75CA3">
      <w:pPr>
        <w:pStyle w:val="enff8"/>
      </w:pPr>
      <w:r>
        <w:t>Form No.2 Omitted</w:t>
      </w:r>
    </w:p>
    <w:p w:rsidR="00AE0B49" w:rsidRDefault="00AE0B49"/>
    <w:p w:rsidR="00AE0B49" w:rsidRDefault="00D75CA3">
      <w:pPr>
        <w:pStyle w:val="jaff8"/>
      </w:pPr>
      <w:r>
        <w:t>様式第三　略</w:t>
      </w:r>
    </w:p>
    <w:p w:rsidR="00AE0B49" w:rsidRDefault="00D75CA3">
      <w:pPr>
        <w:pStyle w:val="enff8"/>
      </w:pPr>
      <w:r>
        <w:t>Form No.3 Omitted</w:t>
      </w:r>
    </w:p>
    <w:p w:rsidR="00AE0B49" w:rsidRDefault="00AE0B49"/>
    <w:p w:rsidR="00AE0B49" w:rsidRDefault="00D75CA3">
      <w:pPr>
        <w:pStyle w:val="jaff8"/>
      </w:pPr>
      <w:r>
        <w:t>様式第四　略</w:t>
      </w:r>
    </w:p>
    <w:p w:rsidR="00AE0B49" w:rsidRDefault="00D75CA3">
      <w:pPr>
        <w:pStyle w:val="enff8"/>
      </w:pPr>
      <w:r>
        <w:t>Form No.4 Omitted</w:t>
      </w:r>
    </w:p>
    <w:p w:rsidR="00AE0B49" w:rsidRDefault="00AE0B49"/>
    <w:p w:rsidR="00AE0B49" w:rsidRDefault="00D75CA3">
      <w:pPr>
        <w:pStyle w:val="jaff8"/>
      </w:pPr>
      <w:r>
        <w:t>様式第五　略</w:t>
      </w:r>
    </w:p>
    <w:p w:rsidR="00AE0B49" w:rsidRDefault="00D75CA3">
      <w:pPr>
        <w:pStyle w:val="enff8"/>
      </w:pPr>
      <w:r>
        <w:t>Form No.5 Omitted</w:t>
      </w:r>
    </w:p>
    <w:p w:rsidR="00AE0B49" w:rsidRDefault="00AE0B49"/>
    <w:p w:rsidR="00AE0B49" w:rsidRDefault="00D75CA3">
      <w:pPr>
        <w:pStyle w:val="jaff8"/>
      </w:pPr>
      <w:r>
        <w:t>様式第六　略</w:t>
      </w:r>
    </w:p>
    <w:p w:rsidR="00AE0B49" w:rsidRDefault="00D75CA3">
      <w:pPr>
        <w:pStyle w:val="enff8"/>
      </w:pPr>
      <w:r>
        <w:t>Form No.6 Omitted</w:t>
      </w:r>
    </w:p>
    <w:p w:rsidR="00AE0B49" w:rsidRDefault="00AE0B49"/>
    <w:p w:rsidR="00AE0B49" w:rsidRDefault="00D75CA3">
      <w:pPr>
        <w:pStyle w:val="jaff8"/>
      </w:pPr>
      <w:r>
        <w:t>様式第七　略</w:t>
      </w:r>
    </w:p>
    <w:p w:rsidR="00AE0B49" w:rsidRDefault="00D75CA3">
      <w:pPr>
        <w:pStyle w:val="enff8"/>
      </w:pPr>
      <w:r>
        <w:t>Form No.7 Omitted</w:t>
      </w:r>
    </w:p>
    <w:sectPr w:rsidR="00AE0B49" w:rsidSect="00AE0B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B49" w:rsidRDefault="00AE0B49" w:rsidP="00AE0B49">
      <w:r>
        <w:separator/>
      </w:r>
    </w:p>
  </w:endnote>
  <w:endnote w:type="continuationSeparator" w:id="0">
    <w:p w:rsidR="00AE0B49" w:rsidRDefault="00AE0B49" w:rsidP="00A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0B49" w:rsidRDefault="00AE0B49">
    <w:pPr>
      <w:pStyle w:val="a3"/>
    </w:pPr>
    <w:r>
      <w:fldChar w:fldCharType="begin"/>
    </w:r>
    <w:r>
      <w:instrText xml:space="preserve"> PAGE  \* MERGEFORMAT </w:instrText>
    </w:r>
    <w:r>
      <w:fldChar w:fldCharType="separate"/>
    </w:r>
    <w:r w:rsidR="00D75C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B49" w:rsidRDefault="00AE0B49" w:rsidP="00AE0B49">
      <w:r>
        <w:separator/>
      </w:r>
    </w:p>
  </w:footnote>
  <w:footnote w:type="continuationSeparator" w:id="0">
    <w:p w:rsidR="00AE0B49" w:rsidRDefault="00AE0B49" w:rsidP="00AE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15D"/>
    <w:multiLevelType w:val="multilevel"/>
    <w:tmpl w:val="B59CB7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247DA"/>
    <w:multiLevelType w:val="multilevel"/>
    <w:tmpl w:val="54860B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C176E"/>
    <w:multiLevelType w:val="multilevel"/>
    <w:tmpl w:val="0D12EB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844F3"/>
    <w:multiLevelType w:val="multilevel"/>
    <w:tmpl w:val="D2161A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F01F5"/>
    <w:multiLevelType w:val="multilevel"/>
    <w:tmpl w:val="91644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917167"/>
    <w:multiLevelType w:val="multilevel"/>
    <w:tmpl w:val="AE4AC8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90D98"/>
    <w:multiLevelType w:val="multilevel"/>
    <w:tmpl w:val="68028E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50D3B"/>
    <w:multiLevelType w:val="multilevel"/>
    <w:tmpl w:val="85243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17737F"/>
    <w:multiLevelType w:val="multilevel"/>
    <w:tmpl w:val="210AE1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F4799"/>
    <w:multiLevelType w:val="multilevel"/>
    <w:tmpl w:val="F4609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FC26E8"/>
    <w:multiLevelType w:val="multilevel"/>
    <w:tmpl w:val="950ED0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351C4"/>
    <w:multiLevelType w:val="multilevel"/>
    <w:tmpl w:val="088C60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22866"/>
    <w:multiLevelType w:val="multilevel"/>
    <w:tmpl w:val="315264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300518">
    <w:abstractNumId w:val="4"/>
  </w:num>
  <w:num w:numId="2" w16cid:durableId="1586183023">
    <w:abstractNumId w:val="11"/>
  </w:num>
  <w:num w:numId="3" w16cid:durableId="1234003340">
    <w:abstractNumId w:val="3"/>
  </w:num>
  <w:num w:numId="4" w16cid:durableId="1121606833">
    <w:abstractNumId w:val="6"/>
  </w:num>
  <w:num w:numId="5" w16cid:durableId="1791699281">
    <w:abstractNumId w:val="5"/>
  </w:num>
  <w:num w:numId="6" w16cid:durableId="1355380880">
    <w:abstractNumId w:val="1"/>
  </w:num>
  <w:num w:numId="7" w16cid:durableId="476578918">
    <w:abstractNumId w:val="12"/>
  </w:num>
  <w:num w:numId="8" w16cid:durableId="1864127912">
    <w:abstractNumId w:val="10"/>
  </w:num>
  <w:num w:numId="9" w16cid:durableId="959997526">
    <w:abstractNumId w:val="9"/>
  </w:num>
  <w:num w:numId="10" w16cid:durableId="322785004">
    <w:abstractNumId w:val="8"/>
  </w:num>
  <w:num w:numId="11" w16cid:durableId="539056183">
    <w:abstractNumId w:val="2"/>
  </w:num>
  <w:num w:numId="12" w16cid:durableId="1593969691">
    <w:abstractNumId w:val="7"/>
  </w:num>
  <w:num w:numId="13" w16cid:durableId="23228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0B49"/>
    <w:rsid w:val="00AE0B49"/>
    <w:rsid w:val="00D75CA3"/>
    <w:rsid w:val="00EF2F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B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0B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0B49"/>
    <w:rPr>
      <w:rFonts w:ascii="Century" w:eastAsia="Century" w:hAnsi="Century"/>
    </w:rPr>
  </w:style>
  <w:style w:type="paragraph" w:customStyle="1" w:styleId="ja0">
    <w:name w:val="款（ja）"/>
    <w:basedOn w:val="a"/>
    <w:rsid w:val="00AE0B49"/>
    <w:pPr>
      <w:widowControl w:val="0"/>
      <w:ind w:left="1321" w:hanging="221"/>
    </w:pPr>
    <w:rPr>
      <w:rFonts w:ascii="ＭＳ 明朝" w:eastAsia="ＭＳ 明朝" w:hAnsi="ＭＳ 明朝" w:cs="ＭＳ 明朝"/>
      <w:b/>
    </w:rPr>
  </w:style>
  <w:style w:type="paragraph" w:customStyle="1" w:styleId="en0">
    <w:name w:val="款（en）"/>
    <w:basedOn w:val="ja0"/>
    <w:rsid w:val="00AE0B49"/>
    <w:rPr>
      <w:rFonts w:ascii="Century" w:eastAsia="Century" w:hAnsi="Century" w:cs="Century"/>
    </w:rPr>
  </w:style>
  <w:style w:type="paragraph" w:customStyle="1" w:styleId="ja1">
    <w:name w:val="前文（ja）"/>
    <w:basedOn w:val="a"/>
    <w:rsid w:val="00AE0B49"/>
    <w:pPr>
      <w:widowControl w:val="0"/>
      <w:ind w:firstLine="219"/>
    </w:pPr>
    <w:rPr>
      <w:rFonts w:ascii="ＭＳ 明朝" w:eastAsia="ＭＳ 明朝" w:hAnsi="ＭＳ 明朝" w:cs="ＭＳ 明朝"/>
    </w:rPr>
  </w:style>
  <w:style w:type="paragraph" w:customStyle="1" w:styleId="en1">
    <w:name w:val="前文（en）"/>
    <w:basedOn w:val="ja1"/>
    <w:rsid w:val="00AE0B49"/>
    <w:rPr>
      <w:rFonts w:ascii="Century" w:eastAsia="Century" w:hAnsi="Century" w:cs="Century"/>
    </w:rPr>
  </w:style>
  <w:style w:type="paragraph" w:customStyle="1" w:styleId="ja2">
    <w:name w:val="附則（ja）"/>
    <w:basedOn w:val="a"/>
    <w:rsid w:val="00AE0B49"/>
    <w:pPr>
      <w:widowControl w:val="0"/>
      <w:ind w:left="881" w:hanging="221"/>
    </w:pPr>
    <w:rPr>
      <w:rFonts w:ascii="ＭＳ 明朝" w:eastAsia="ＭＳ 明朝" w:hAnsi="ＭＳ 明朝" w:cs="ＭＳ 明朝"/>
      <w:b/>
    </w:rPr>
  </w:style>
  <w:style w:type="paragraph" w:customStyle="1" w:styleId="en2">
    <w:name w:val="附則（en）"/>
    <w:basedOn w:val="ja2"/>
    <w:rsid w:val="00AE0B49"/>
    <w:rPr>
      <w:rFonts w:ascii="Century" w:hAnsi="Century" w:cs="Century"/>
    </w:rPr>
  </w:style>
  <w:style w:type="paragraph" w:customStyle="1" w:styleId="ja3">
    <w:name w:val="章（ja）"/>
    <w:basedOn w:val="a"/>
    <w:rsid w:val="00AE0B49"/>
    <w:pPr>
      <w:widowControl w:val="0"/>
      <w:ind w:left="881" w:hanging="221"/>
    </w:pPr>
    <w:rPr>
      <w:rFonts w:ascii="ＭＳ 明朝" w:eastAsia="ＭＳ 明朝" w:hAnsi="ＭＳ 明朝" w:cs="ＭＳ 明朝"/>
      <w:b/>
    </w:rPr>
  </w:style>
  <w:style w:type="paragraph" w:customStyle="1" w:styleId="en3">
    <w:name w:val="章（en）"/>
    <w:basedOn w:val="ja3"/>
    <w:rsid w:val="00AE0B49"/>
    <w:rPr>
      <w:rFonts w:ascii="Century" w:eastAsia="Century" w:hAnsi="Century" w:cs="Century"/>
    </w:rPr>
  </w:style>
  <w:style w:type="paragraph" w:customStyle="1" w:styleId="ja4">
    <w:name w:val="目次編（ja）"/>
    <w:basedOn w:val="a"/>
    <w:rsid w:val="00AE0B49"/>
    <w:pPr>
      <w:widowControl w:val="0"/>
      <w:ind w:left="219" w:hanging="219"/>
    </w:pPr>
    <w:rPr>
      <w:rFonts w:ascii="ＭＳ 明朝" w:eastAsia="ＭＳ 明朝" w:hAnsi="ＭＳ 明朝"/>
    </w:rPr>
  </w:style>
  <w:style w:type="paragraph" w:customStyle="1" w:styleId="en4">
    <w:name w:val="目次編（en）"/>
    <w:basedOn w:val="ja4"/>
    <w:rsid w:val="00AE0B49"/>
    <w:rPr>
      <w:rFonts w:ascii="Century" w:eastAsia="Century" w:hAnsi="Century"/>
    </w:rPr>
  </w:style>
  <w:style w:type="paragraph" w:customStyle="1" w:styleId="ja5">
    <w:name w:val="目次章（ja）"/>
    <w:basedOn w:val="a"/>
    <w:rsid w:val="00AE0B49"/>
    <w:pPr>
      <w:widowControl w:val="0"/>
      <w:ind w:left="439" w:hanging="219"/>
    </w:pPr>
    <w:rPr>
      <w:rFonts w:ascii="ＭＳ 明朝" w:eastAsia="ＭＳ 明朝" w:hAnsi="ＭＳ 明朝"/>
    </w:rPr>
  </w:style>
  <w:style w:type="paragraph" w:customStyle="1" w:styleId="en5">
    <w:name w:val="目次章（en）"/>
    <w:basedOn w:val="ja5"/>
    <w:rsid w:val="00AE0B49"/>
    <w:rPr>
      <w:rFonts w:ascii="Century" w:eastAsia="Century" w:hAnsi="Century"/>
    </w:rPr>
  </w:style>
  <w:style w:type="paragraph" w:customStyle="1" w:styleId="ja6">
    <w:name w:val="目次節（ja）"/>
    <w:basedOn w:val="a"/>
    <w:rsid w:val="00AE0B49"/>
    <w:pPr>
      <w:widowControl w:val="0"/>
      <w:ind w:left="659" w:hanging="219"/>
    </w:pPr>
    <w:rPr>
      <w:rFonts w:ascii="ＭＳ 明朝" w:eastAsia="ＭＳ 明朝" w:hAnsi="ＭＳ 明朝"/>
    </w:rPr>
  </w:style>
  <w:style w:type="paragraph" w:customStyle="1" w:styleId="en6">
    <w:name w:val="目次節（en）"/>
    <w:basedOn w:val="ja6"/>
    <w:rsid w:val="00AE0B49"/>
    <w:rPr>
      <w:rFonts w:ascii="Century" w:eastAsia="Century" w:hAnsi="Century"/>
    </w:rPr>
  </w:style>
  <w:style w:type="paragraph" w:customStyle="1" w:styleId="ja7">
    <w:name w:val="目次款（ja）"/>
    <w:basedOn w:val="a"/>
    <w:rsid w:val="00AE0B49"/>
    <w:pPr>
      <w:widowControl w:val="0"/>
      <w:ind w:left="879" w:hanging="219"/>
    </w:pPr>
    <w:rPr>
      <w:rFonts w:ascii="ＭＳ 明朝" w:eastAsia="ＭＳ 明朝" w:hAnsi="ＭＳ 明朝" w:cs="Kochi Mincho"/>
    </w:rPr>
  </w:style>
  <w:style w:type="paragraph" w:customStyle="1" w:styleId="en7">
    <w:name w:val="目次款（en）"/>
    <w:basedOn w:val="ja7"/>
    <w:rsid w:val="00AE0B49"/>
    <w:rPr>
      <w:rFonts w:ascii="Century" w:eastAsia="Century" w:hAnsi="Century"/>
    </w:rPr>
  </w:style>
  <w:style w:type="paragraph" w:customStyle="1" w:styleId="ja8">
    <w:name w:val="別表名（ja）"/>
    <w:basedOn w:val="a"/>
    <w:rsid w:val="00AE0B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0B49"/>
    <w:rPr>
      <w:rFonts w:ascii="Century" w:eastAsia="Century" w:hAnsi="Century" w:cs="Century"/>
    </w:rPr>
  </w:style>
  <w:style w:type="paragraph" w:customStyle="1" w:styleId="ja9">
    <w:name w:val="目（ja）"/>
    <w:basedOn w:val="a"/>
    <w:rsid w:val="00AE0B49"/>
    <w:pPr>
      <w:widowControl w:val="0"/>
      <w:ind w:left="1541" w:hanging="221"/>
    </w:pPr>
    <w:rPr>
      <w:rFonts w:ascii="ＭＳ 明朝" w:eastAsia="ＭＳ 明朝" w:hAnsi="ＭＳ 明朝" w:cs="ＭＳ 明朝"/>
      <w:b/>
    </w:rPr>
  </w:style>
  <w:style w:type="paragraph" w:customStyle="1" w:styleId="en9">
    <w:name w:val="目（en）"/>
    <w:basedOn w:val="ja9"/>
    <w:rsid w:val="00AE0B49"/>
    <w:rPr>
      <w:rFonts w:ascii="Century" w:eastAsia="Century" w:hAnsi="Century" w:cs="Century"/>
    </w:rPr>
  </w:style>
  <w:style w:type="paragraph" w:customStyle="1" w:styleId="jaa">
    <w:name w:val="見出し（ja）"/>
    <w:basedOn w:val="a"/>
    <w:rsid w:val="00AE0B49"/>
    <w:pPr>
      <w:widowControl w:val="0"/>
      <w:ind w:left="439" w:hanging="219"/>
    </w:pPr>
    <w:rPr>
      <w:rFonts w:ascii="ＭＳ 明朝" w:eastAsia="ＭＳ 明朝" w:hAnsi="ＭＳ 明朝" w:cs="ＭＳ 明朝"/>
    </w:rPr>
  </w:style>
  <w:style w:type="paragraph" w:customStyle="1" w:styleId="ena">
    <w:name w:val="見出し（en）"/>
    <w:basedOn w:val="jaa"/>
    <w:rsid w:val="00AE0B49"/>
    <w:rPr>
      <w:rFonts w:ascii="Century" w:eastAsia="Century" w:hAnsi="Century" w:cs="Century"/>
    </w:rPr>
  </w:style>
  <w:style w:type="paragraph" w:styleId="a3">
    <w:name w:val="footer"/>
    <w:basedOn w:val="a"/>
    <w:rsid w:val="00AE0B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0B49"/>
    <w:pPr>
      <w:widowControl w:val="0"/>
      <w:ind w:left="1099" w:hanging="219"/>
    </w:pPr>
    <w:rPr>
      <w:rFonts w:ascii="ＭＳ 明朝" w:eastAsia="ＭＳ 明朝" w:hAnsi="ＭＳ 明朝" w:cs="Kochi Mincho"/>
    </w:rPr>
  </w:style>
  <w:style w:type="paragraph" w:customStyle="1" w:styleId="enb">
    <w:name w:val="目次目（en）"/>
    <w:basedOn w:val="jab"/>
    <w:rsid w:val="00AE0B49"/>
    <w:rPr>
      <w:rFonts w:ascii="Century" w:eastAsia="Century" w:hAnsi="Century"/>
    </w:rPr>
  </w:style>
  <w:style w:type="paragraph" w:customStyle="1" w:styleId="jac">
    <w:name w:val="目次附則（ja）"/>
    <w:basedOn w:val="a"/>
    <w:rsid w:val="00AE0B49"/>
    <w:pPr>
      <w:widowControl w:val="0"/>
      <w:ind w:left="439" w:hanging="219"/>
    </w:pPr>
    <w:rPr>
      <w:rFonts w:ascii="ＭＳ 明朝" w:eastAsia="ＭＳ 明朝" w:hAnsi="ＭＳ 明朝" w:cs="Kochi Mincho"/>
    </w:rPr>
  </w:style>
  <w:style w:type="paragraph" w:customStyle="1" w:styleId="enc">
    <w:name w:val="目次附則（en）"/>
    <w:basedOn w:val="jac"/>
    <w:rsid w:val="00AE0B49"/>
    <w:rPr>
      <w:rFonts w:ascii="Century" w:eastAsia="Century" w:hAnsi="Century" w:cs="Century"/>
    </w:rPr>
  </w:style>
  <w:style w:type="paragraph" w:customStyle="1" w:styleId="jad">
    <w:name w:val="目次前文（ja）"/>
    <w:basedOn w:val="jac"/>
    <w:rsid w:val="00AE0B49"/>
  </w:style>
  <w:style w:type="paragraph" w:customStyle="1" w:styleId="end">
    <w:name w:val="目次前文（en）"/>
    <w:basedOn w:val="enc"/>
    <w:rsid w:val="00AE0B49"/>
  </w:style>
  <w:style w:type="paragraph" w:customStyle="1" w:styleId="jae">
    <w:name w:val="制定文（ja）"/>
    <w:basedOn w:val="a"/>
    <w:rsid w:val="00AE0B49"/>
    <w:pPr>
      <w:widowControl w:val="0"/>
      <w:ind w:firstLine="219"/>
    </w:pPr>
    <w:rPr>
      <w:rFonts w:ascii="ＭＳ 明朝" w:eastAsia="ＭＳ 明朝" w:hAnsi="ＭＳ 明朝" w:cs="ＭＳ 明朝"/>
    </w:rPr>
  </w:style>
  <w:style w:type="paragraph" w:customStyle="1" w:styleId="ene">
    <w:name w:val="制定文（en）"/>
    <w:basedOn w:val="jae"/>
    <w:rsid w:val="00AE0B49"/>
    <w:rPr>
      <w:rFonts w:ascii="Century" w:eastAsia="Century" w:hAnsi="Century" w:cs="Century"/>
    </w:rPr>
  </w:style>
  <w:style w:type="paragraph" w:customStyle="1" w:styleId="jaf">
    <w:name w:val="法令番号（ja）"/>
    <w:basedOn w:val="a"/>
    <w:rsid w:val="00AE0B49"/>
    <w:pPr>
      <w:widowControl w:val="0"/>
      <w:jc w:val="right"/>
    </w:pPr>
    <w:rPr>
      <w:rFonts w:ascii="ＭＳ 明朝" w:eastAsia="ＭＳ 明朝" w:hAnsi="ＭＳ 明朝" w:cs="Kochi Mincho"/>
    </w:rPr>
  </w:style>
  <w:style w:type="paragraph" w:customStyle="1" w:styleId="enf">
    <w:name w:val="法令番号（en）"/>
    <w:basedOn w:val="jaf"/>
    <w:rsid w:val="00AE0B49"/>
    <w:rPr>
      <w:rFonts w:ascii="Century" w:eastAsia="Century" w:hAnsi="Century" w:cs="Century"/>
    </w:rPr>
  </w:style>
  <w:style w:type="paragraph" w:customStyle="1" w:styleId="jaf0">
    <w:name w:val="目次（ja）"/>
    <w:basedOn w:val="a"/>
    <w:rsid w:val="00AE0B49"/>
    <w:rPr>
      <w:rFonts w:ascii="ＭＳ 明朝" w:eastAsia="ＭＳ 明朝" w:hAnsi="ＭＳ 明朝"/>
    </w:rPr>
  </w:style>
  <w:style w:type="paragraph" w:customStyle="1" w:styleId="enf0">
    <w:name w:val="目次（en）"/>
    <w:basedOn w:val="jaf0"/>
    <w:rsid w:val="00AE0B49"/>
    <w:rPr>
      <w:rFonts w:ascii="Century" w:eastAsia="Century" w:hAnsi="Century"/>
    </w:rPr>
  </w:style>
  <w:style w:type="paragraph" w:customStyle="1" w:styleId="jaf1">
    <w:name w:val="編（ja）"/>
    <w:basedOn w:val="a"/>
    <w:rsid w:val="00AE0B49"/>
    <w:pPr>
      <w:widowControl w:val="0"/>
      <w:ind w:left="661" w:hanging="221"/>
    </w:pPr>
    <w:rPr>
      <w:rFonts w:ascii="ＭＳ 明朝" w:eastAsia="ＭＳ 明朝" w:hAnsi="ＭＳ 明朝" w:cs="ＭＳ 明朝"/>
      <w:b/>
    </w:rPr>
  </w:style>
  <w:style w:type="paragraph" w:customStyle="1" w:styleId="enf1">
    <w:name w:val="編（en）"/>
    <w:basedOn w:val="jaf1"/>
    <w:rsid w:val="00AE0B49"/>
    <w:rPr>
      <w:rFonts w:ascii="Century" w:eastAsia="Century" w:hAnsi="Century" w:cs="Century"/>
    </w:rPr>
  </w:style>
  <w:style w:type="paragraph" w:customStyle="1" w:styleId="jaf2">
    <w:name w:val="節（ja）"/>
    <w:basedOn w:val="a"/>
    <w:rsid w:val="00AE0B49"/>
    <w:pPr>
      <w:widowControl w:val="0"/>
      <w:ind w:left="1101" w:hanging="221"/>
    </w:pPr>
    <w:rPr>
      <w:rFonts w:ascii="ＭＳ 明朝" w:eastAsia="ＭＳ 明朝" w:hAnsi="ＭＳ 明朝" w:cs="ＭＳ 明朝"/>
      <w:b/>
    </w:rPr>
  </w:style>
  <w:style w:type="paragraph" w:customStyle="1" w:styleId="enf2">
    <w:name w:val="節（en）"/>
    <w:basedOn w:val="jaf2"/>
    <w:rsid w:val="00AE0B49"/>
    <w:rPr>
      <w:rFonts w:ascii="Century" w:eastAsia="Century" w:hAnsi="Century" w:cs="Century"/>
    </w:rPr>
  </w:style>
  <w:style w:type="paragraph" w:customStyle="1" w:styleId="jaf3">
    <w:name w:val="条（ja）"/>
    <w:basedOn w:val="a"/>
    <w:rsid w:val="00AE0B49"/>
    <w:pPr>
      <w:widowControl w:val="0"/>
      <w:ind w:left="219" w:hanging="219"/>
    </w:pPr>
    <w:rPr>
      <w:rFonts w:ascii="ＭＳ 明朝" w:eastAsia="ＭＳ 明朝" w:hAnsi="ＭＳ 明朝" w:cs="ＭＳ 明朝"/>
    </w:rPr>
  </w:style>
  <w:style w:type="paragraph" w:customStyle="1" w:styleId="enf3">
    <w:name w:val="条（en）"/>
    <w:basedOn w:val="jaf3"/>
    <w:rsid w:val="00AE0B49"/>
    <w:rPr>
      <w:rFonts w:ascii="Century" w:eastAsia="Century" w:hAnsi="Century" w:cs="Century"/>
    </w:rPr>
  </w:style>
  <w:style w:type="paragraph" w:customStyle="1" w:styleId="jaf4">
    <w:name w:val="項（ja）"/>
    <w:basedOn w:val="a"/>
    <w:rsid w:val="00AE0B49"/>
    <w:pPr>
      <w:widowControl w:val="0"/>
      <w:ind w:left="219" w:hanging="219"/>
    </w:pPr>
    <w:rPr>
      <w:rFonts w:ascii="ＭＳ 明朝" w:eastAsia="ＭＳ 明朝" w:hAnsi="ＭＳ 明朝" w:cs="ＭＳ 明朝"/>
    </w:rPr>
  </w:style>
  <w:style w:type="paragraph" w:customStyle="1" w:styleId="enf4">
    <w:name w:val="項（en）"/>
    <w:basedOn w:val="jaf4"/>
    <w:rsid w:val="00AE0B49"/>
    <w:rPr>
      <w:rFonts w:ascii="Century" w:eastAsia="Century" w:hAnsi="Century" w:cs="Century"/>
    </w:rPr>
  </w:style>
  <w:style w:type="paragraph" w:customStyle="1" w:styleId="jaf5">
    <w:name w:val="項　番号なし（ja）"/>
    <w:basedOn w:val="a"/>
    <w:rsid w:val="00AE0B49"/>
    <w:pPr>
      <w:widowControl w:val="0"/>
      <w:ind w:firstLine="221"/>
    </w:pPr>
    <w:rPr>
      <w:rFonts w:ascii="ＭＳ 明朝" w:eastAsia="ＭＳ 明朝" w:hAnsi="ＭＳ 明朝" w:cs="ＭＳ 明朝"/>
    </w:rPr>
  </w:style>
  <w:style w:type="paragraph" w:customStyle="1" w:styleId="enf5">
    <w:name w:val="項　番号なし（en）"/>
    <w:basedOn w:val="jaf5"/>
    <w:rsid w:val="00AE0B49"/>
    <w:rPr>
      <w:rFonts w:ascii="Century" w:eastAsia="Century" w:hAnsi="Century" w:cs="Century"/>
    </w:rPr>
  </w:style>
  <w:style w:type="paragraph" w:customStyle="1" w:styleId="jaf6">
    <w:name w:val="号（ja）"/>
    <w:basedOn w:val="a"/>
    <w:rsid w:val="00AE0B49"/>
    <w:pPr>
      <w:widowControl w:val="0"/>
      <w:ind w:left="439" w:hanging="219"/>
    </w:pPr>
    <w:rPr>
      <w:rFonts w:ascii="ＭＳ 明朝" w:eastAsia="ＭＳ 明朝" w:hAnsi="ＭＳ 明朝" w:cs="ＭＳ 明朝"/>
    </w:rPr>
  </w:style>
  <w:style w:type="paragraph" w:customStyle="1" w:styleId="enf6">
    <w:name w:val="号（en）"/>
    <w:basedOn w:val="jaf6"/>
    <w:rsid w:val="00AE0B49"/>
    <w:rPr>
      <w:rFonts w:ascii="Century" w:eastAsia="Century" w:hAnsi="Century" w:cs="Century"/>
    </w:rPr>
  </w:style>
  <w:style w:type="paragraph" w:customStyle="1" w:styleId="jaf7">
    <w:name w:val="号　番号なし（ja）"/>
    <w:basedOn w:val="a"/>
    <w:rsid w:val="00AE0B49"/>
    <w:pPr>
      <w:widowControl w:val="0"/>
      <w:ind w:left="221" w:firstLine="221"/>
    </w:pPr>
    <w:rPr>
      <w:rFonts w:ascii="ＭＳ 明朝" w:eastAsia="ＭＳ 明朝" w:hAnsi="ＭＳ 明朝" w:cs="ＭＳ 明朝"/>
    </w:rPr>
  </w:style>
  <w:style w:type="paragraph" w:customStyle="1" w:styleId="enf7">
    <w:name w:val="号　番号なし（en）"/>
    <w:basedOn w:val="jaf7"/>
    <w:rsid w:val="00AE0B49"/>
    <w:rPr>
      <w:rFonts w:ascii="Century" w:eastAsia="Century" w:hAnsi="Century" w:cs="Century"/>
    </w:rPr>
  </w:style>
  <w:style w:type="paragraph" w:customStyle="1" w:styleId="jaf8">
    <w:name w:val="備考号（ja）"/>
    <w:basedOn w:val="a"/>
    <w:rsid w:val="00AE0B49"/>
    <w:pPr>
      <w:widowControl w:val="0"/>
      <w:ind w:left="659" w:hanging="219"/>
    </w:pPr>
    <w:rPr>
      <w:rFonts w:ascii="ＭＳ 明朝" w:eastAsia="ＭＳ 明朝" w:hAnsi="ＭＳ 明朝" w:cs="ＭＳ 明朝"/>
    </w:rPr>
  </w:style>
  <w:style w:type="paragraph" w:customStyle="1" w:styleId="enf8">
    <w:name w:val="備考号（en）"/>
    <w:basedOn w:val="jaf8"/>
    <w:rsid w:val="00AE0B49"/>
    <w:rPr>
      <w:rFonts w:ascii="Century" w:eastAsia="Century" w:hAnsi="Century" w:cs="Century"/>
    </w:rPr>
  </w:style>
  <w:style w:type="paragraph" w:customStyle="1" w:styleId="jaf9">
    <w:name w:val="号細分（ja）"/>
    <w:basedOn w:val="a"/>
    <w:rsid w:val="00AE0B49"/>
    <w:pPr>
      <w:widowControl w:val="0"/>
      <w:ind w:left="659" w:hanging="219"/>
    </w:pPr>
    <w:rPr>
      <w:rFonts w:ascii="ＭＳ 明朝" w:eastAsia="ＭＳ 明朝" w:hAnsi="ＭＳ 明朝" w:cs="ＭＳ 明朝"/>
    </w:rPr>
  </w:style>
  <w:style w:type="paragraph" w:customStyle="1" w:styleId="enf9">
    <w:name w:val="号細分（en）"/>
    <w:basedOn w:val="jaf9"/>
    <w:rsid w:val="00AE0B49"/>
    <w:rPr>
      <w:rFonts w:ascii="Century" w:eastAsia="Century" w:hAnsi="Century" w:cs="Century"/>
    </w:rPr>
  </w:style>
  <w:style w:type="paragraph" w:customStyle="1" w:styleId="jafa">
    <w:name w:val="号細分　番号なし（ja）"/>
    <w:basedOn w:val="a"/>
    <w:rsid w:val="00AE0B49"/>
    <w:pPr>
      <w:widowControl w:val="0"/>
      <w:ind w:left="439"/>
    </w:pPr>
    <w:rPr>
      <w:rFonts w:ascii="ＭＳ 明朝" w:eastAsia="ＭＳ 明朝" w:hAnsi="ＭＳ 明朝" w:cs="ＭＳ 明朝"/>
    </w:rPr>
  </w:style>
  <w:style w:type="paragraph" w:customStyle="1" w:styleId="enfa">
    <w:name w:val="号細分　番号なし（en）"/>
    <w:basedOn w:val="jafa"/>
    <w:rsid w:val="00AE0B49"/>
    <w:rPr>
      <w:rFonts w:ascii="Century" w:eastAsia="Century" w:hAnsi="Century" w:cs="Century"/>
    </w:rPr>
  </w:style>
  <w:style w:type="paragraph" w:customStyle="1" w:styleId="jafb">
    <w:name w:val="備考号細分（ja）"/>
    <w:basedOn w:val="a"/>
    <w:rsid w:val="00AE0B49"/>
    <w:pPr>
      <w:widowControl w:val="0"/>
      <w:ind w:left="1099" w:hanging="439"/>
    </w:pPr>
    <w:rPr>
      <w:rFonts w:ascii="ＭＳ 明朝" w:eastAsia="ＭＳ 明朝" w:hAnsi="ＭＳ 明朝" w:cs="ＭＳ 明朝"/>
    </w:rPr>
  </w:style>
  <w:style w:type="paragraph" w:customStyle="1" w:styleId="enfb">
    <w:name w:val="備考号細分（en）"/>
    <w:basedOn w:val="jafb"/>
    <w:rsid w:val="00AE0B49"/>
    <w:rPr>
      <w:rFonts w:ascii="Century" w:eastAsia="Century" w:hAnsi="Century" w:cs="Century"/>
    </w:rPr>
  </w:style>
  <w:style w:type="paragraph" w:customStyle="1" w:styleId="jafc">
    <w:name w:val="号細細分（ja）"/>
    <w:basedOn w:val="a"/>
    <w:rsid w:val="00AE0B49"/>
    <w:pPr>
      <w:widowControl w:val="0"/>
      <w:ind w:left="1099" w:hanging="439"/>
    </w:pPr>
    <w:rPr>
      <w:rFonts w:ascii="ＭＳ 明朝" w:eastAsia="ＭＳ 明朝" w:hAnsi="ＭＳ 明朝" w:cs="ＭＳ 明朝"/>
    </w:rPr>
  </w:style>
  <w:style w:type="paragraph" w:customStyle="1" w:styleId="enfc">
    <w:name w:val="号細細分（en）"/>
    <w:basedOn w:val="jafc"/>
    <w:rsid w:val="00AE0B49"/>
    <w:rPr>
      <w:rFonts w:ascii="Century" w:eastAsia="Century" w:hAnsi="Century" w:cs="Century"/>
    </w:rPr>
  </w:style>
  <w:style w:type="paragraph" w:customStyle="1" w:styleId="jafd">
    <w:name w:val="号細細分　番号なし（ja）"/>
    <w:basedOn w:val="a"/>
    <w:rsid w:val="00AE0B49"/>
    <w:pPr>
      <w:widowControl w:val="0"/>
      <w:ind w:left="659"/>
    </w:pPr>
    <w:rPr>
      <w:rFonts w:ascii="ＭＳ 明朝" w:eastAsia="ＭＳ 明朝" w:hAnsi="ＭＳ 明朝" w:cs="ＭＳ 明朝"/>
    </w:rPr>
  </w:style>
  <w:style w:type="paragraph" w:customStyle="1" w:styleId="enfd">
    <w:name w:val="号細細分　番号なし（en）"/>
    <w:basedOn w:val="jafd"/>
    <w:rsid w:val="00AE0B49"/>
    <w:rPr>
      <w:rFonts w:ascii="Century" w:eastAsia="Century" w:hAnsi="Century" w:cs="Century"/>
    </w:rPr>
  </w:style>
  <w:style w:type="paragraph" w:customStyle="1" w:styleId="jafe">
    <w:name w:val="備考号細細分（ja）"/>
    <w:basedOn w:val="a"/>
    <w:rsid w:val="00AE0B49"/>
    <w:pPr>
      <w:widowControl w:val="0"/>
      <w:ind w:left="1319" w:hanging="439"/>
    </w:pPr>
    <w:rPr>
      <w:rFonts w:ascii="ＭＳ 明朝" w:eastAsia="ＭＳ 明朝" w:hAnsi="ＭＳ 明朝" w:cs="ＭＳ 明朝"/>
    </w:rPr>
  </w:style>
  <w:style w:type="paragraph" w:customStyle="1" w:styleId="enfe">
    <w:name w:val="備考号細細分（en）"/>
    <w:basedOn w:val="jafe"/>
    <w:rsid w:val="00AE0B49"/>
    <w:rPr>
      <w:rFonts w:ascii="Century" w:eastAsia="Century" w:hAnsi="Century" w:cs="Century"/>
    </w:rPr>
  </w:style>
  <w:style w:type="paragraph" w:customStyle="1" w:styleId="jaff">
    <w:name w:val="号細細細分（ja）"/>
    <w:basedOn w:val="a"/>
    <w:rsid w:val="00AE0B49"/>
    <w:pPr>
      <w:widowControl w:val="0"/>
      <w:ind w:left="1319" w:hanging="439"/>
    </w:pPr>
    <w:rPr>
      <w:rFonts w:ascii="ＭＳ 明朝" w:eastAsia="ＭＳ 明朝" w:hAnsi="ＭＳ 明朝" w:cs="ＭＳ 明朝"/>
    </w:rPr>
  </w:style>
  <w:style w:type="paragraph" w:customStyle="1" w:styleId="enff">
    <w:name w:val="号細細細分（en）"/>
    <w:basedOn w:val="jaff"/>
    <w:rsid w:val="00AE0B49"/>
    <w:rPr>
      <w:rFonts w:ascii="Century" w:eastAsia="Century" w:hAnsi="Century" w:cs="Century"/>
    </w:rPr>
  </w:style>
  <w:style w:type="paragraph" w:customStyle="1" w:styleId="jaff0">
    <w:name w:val="号細細細分　番号なし（ja）"/>
    <w:basedOn w:val="a"/>
    <w:rsid w:val="00AE0B49"/>
    <w:pPr>
      <w:widowControl w:val="0"/>
      <w:ind w:left="879"/>
    </w:pPr>
    <w:rPr>
      <w:rFonts w:ascii="ＭＳ 明朝" w:eastAsia="ＭＳ 明朝" w:hAnsi="ＭＳ 明朝" w:cs="ＭＳ 明朝"/>
    </w:rPr>
  </w:style>
  <w:style w:type="paragraph" w:customStyle="1" w:styleId="enff0">
    <w:name w:val="号細細細分　番号なし（en）"/>
    <w:basedOn w:val="jaff0"/>
    <w:rsid w:val="00AE0B49"/>
    <w:rPr>
      <w:rFonts w:ascii="Century" w:eastAsia="Century" w:hAnsi="Century" w:cs="Century"/>
    </w:rPr>
  </w:style>
  <w:style w:type="paragraph" w:customStyle="1" w:styleId="jaff1">
    <w:name w:val="備考号細細細分（ja）"/>
    <w:basedOn w:val="a"/>
    <w:rsid w:val="00AE0B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0B49"/>
    <w:rPr>
      <w:rFonts w:ascii="Century" w:eastAsia="Century" w:hAnsi="Century" w:cs="Century"/>
    </w:rPr>
  </w:style>
  <w:style w:type="paragraph" w:customStyle="1" w:styleId="jaff2">
    <w:name w:val="類（ja）"/>
    <w:basedOn w:val="a"/>
    <w:rsid w:val="00AE0B49"/>
    <w:pPr>
      <w:widowControl w:val="0"/>
      <w:ind w:left="439" w:hanging="219"/>
    </w:pPr>
    <w:rPr>
      <w:rFonts w:ascii="ＭＳ 明朝" w:eastAsia="ＭＳ 明朝" w:hAnsi="ＭＳ 明朝" w:cs="ＭＳ 明朝"/>
    </w:rPr>
  </w:style>
  <w:style w:type="paragraph" w:customStyle="1" w:styleId="enff2">
    <w:name w:val="類（en）"/>
    <w:basedOn w:val="jaff2"/>
    <w:rsid w:val="00AE0B49"/>
    <w:rPr>
      <w:rFonts w:ascii="Century" w:eastAsia="Century" w:hAnsi="Century" w:cs="Century"/>
    </w:rPr>
  </w:style>
  <w:style w:type="paragraph" w:customStyle="1" w:styleId="jaff3">
    <w:name w:val="公布文（ja）"/>
    <w:basedOn w:val="a"/>
    <w:rsid w:val="00AE0B49"/>
    <w:pPr>
      <w:widowControl w:val="0"/>
      <w:ind w:firstLine="219"/>
    </w:pPr>
    <w:rPr>
      <w:rFonts w:ascii="ＭＳ 明朝" w:eastAsia="ＭＳ 明朝" w:hAnsi="ＭＳ 明朝" w:cs="ＭＳ 明朝"/>
    </w:rPr>
  </w:style>
  <w:style w:type="paragraph" w:customStyle="1" w:styleId="enff3">
    <w:name w:val="公布文（en）"/>
    <w:basedOn w:val="jaff3"/>
    <w:rsid w:val="00AE0B49"/>
    <w:rPr>
      <w:rFonts w:ascii="Century" w:eastAsia="Century" w:hAnsi="Century" w:cs="Century"/>
    </w:rPr>
  </w:style>
  <w:style w:type="paragraph" w:customStyle="1" w:styleId="jaen">
    <w:name w:val="表（ja：en）"/>
    <w:basedOn w:val="a"/>
    <w:rsid w:val="00AE0B49"/>
    <w:pPr>
      <w:widowControl w:val="0"/>
      <w:snapToGrid w:val="0"/>
    </w:pPr>
    <w:rPr>
      <w:rFonts w:ascii="Century" w:eastAsia="ＭＳ 明朝" w:hAnsi="Century"/>
    </w:rPr>
  </w:style>
  <w:style w:type="paragraph" w:customStyle="1" w:styleId="jaff4">
    <w:name w:val="備考（ja）"/>
    <w:basedOn w:val="a"/>
    <w:rsid w:val="00AE0B49"/>
    <w:pPr>
      <w:widowControl w:val="0"/>
      <w:ind w:left="439" w:hanging="219"/>
    </w:pPr>
    <w:rPr>
      <w:rFonts w:ascii="ＭＳ 明朝" w:eastAsia="ＭＳ 明朝" w:hAnsi="ＭＳ 明朝" w:cs="ＭＳ 明朝"/>
    </w:rPr>
  </w:style>
  <w:style w:type="paragraph" w:customStyle="1" w:styleId="enff4">
    <w:name w:val="備考（en）"/>
    <w:basedOn w:val="jaff4"/>
    <w:rsid w:val="00AE0B49"/>
    <w:rPr>
      <w:rFonts w:ascii="Century" w:eastAsia="Century" w:hAnsi="Century" w:cs="Century"/>
    </w:rPr>
  </w:style>
  <w:style w:type="paragraph" w:customStyle="1" w:styleId="jaff5">
    <w:name w:val="表タイトル（ja）"/>
    <w:basedOn w:val="a"/>
    <w:rsid w:val="00AE0B49"/>
    <w:pPr>
      <w:widowControl w:val="0"/>
      <w:ind w:left="219"/>
    </w:pPr>
    <w:rPr>
      <w:rFonts w:ascii="ＭＳ 明朝" w:eastAsia="ＭＳ 明朝" w:hAnsi="ＭＳ 明朝" w:cs="ＭＳ 明朝"/>
    </w:rPr>
  </w:style>
  <w:style w:type="paragraph" w:customStyle="1" w:styleId="enff5">
    <w:name w:val="表タイトル（en）"/>
    <w:basedOn w:val="jaff5"/>
    <w:rsid w:val="00AE0B49"/>
    <w:rPr>
      <w:rFonts w:ascii="Century" w:eastAsia="Century" w:hAnsi="Century" w:cs="Century"/>
    </w:rPr>
  </w:style>
  <w:style w:type="paragraph" w:customStyle="1" w:styleId="jaff6">
    <w:name w:val="改正規定文（ja）"/>
    <w:basedOn w:val="a"/>
    <w:rsid w:val="00AE0B49"/>
    <w:pPr>
      <w:widowControl w:val="0"/>
      <w:ind w:left="219" w:firstLine="219"/>
    </w:pPr>
    <w:rPr>
      <w:rFonts w:ascii="ＭＳ 明朝" w:eastAsia="ＭＳ 明朝" w:hAnsi="ＭＳ 明朝" w:cs="ＭＳ 明朝"/>
    </w:rPr>
  </w:style>
  <w:style w:type="paragraph" w:customStyle="1" w:styleId="enff6">
    <w:name w:val="改正規定文（en）"/>
    <w:basedOn w:val="jaff6"/>
    <w:rsid w:val="00AE0B49"/>
    <w:rPr>
      <w:rFonts w:ascii="Century" w:eastAsia="Century" w:hAnsi="Century" w:cs="Century"/>
    </w:rPr>
  </w:style>
  <w:style w:type="paragraph" w:customStyle="1" w:styleId="jaff7">
    <w:name w:val="付記（ja）"/>
    <w:basedOn w:val="a"/>
    <w:rsid w:val="00AE0B49"/>
    <w:pPr>
      <w:widowControl w:val="0"/>
      <w:ind w:left="219" w:firstLine="219"/>
    </w:pPr>
    <w:rPr>
      <w:rFonts w:ascii="ＭＳ 明朝" w:eastAsia="ＭＳ 明朝" w:hAnsi="ＭＳ 明朝" w:cs="ＭＳ 明朝"/>
    </w:rPr>
  </w:style>
  <w:style w:type="paragraph" w:customStyle="1" w:styleId="enff7">
    <w:name w:val="付記（en）"/>
    <w:basedOn w:val="jaff7"/>
    <w:rsid w:val="00AE0B49"/>
    <w:rPr>
      <w:rFonts w:ascii="Century" w:eastAsia="Century" w:hAnsi="Century" w:cs="Century"/>
    </w:rPr>
  </w:style>
  <w:style w:type="paragraph" w:customStyle="1" w:styleId="jaff8">
    <w:name w:val="様式名（ja）"/>
    <w:basedOn w:val="a"/>
    <w:rsid w:val="00AE0B49"/>
    <w:pPr>
      <w:widowControl w:val="0"/>
      <w:ind w:left="439" w:hanging="219"/>
    </w:pPr>
    <w:rPr>
      <w:rFonts w:ascii="ＭＳ 明朝" w:eastAsia="ＭＳ 明朝" w:hAnsi="ＭＳ 明朝" w:cs="ＭＳ 明朝"/>
    </w:rPr>
  </w:style>
  <w:style w:type="paragraph" w:customStyle="1" w:styleId="enff8">
    <w:name w:val="様式名（en）"/>
    <w:basedOn w:val="jaff8"/>
    <w:rsid w:val="00AE0B49"/>
    <w:rPr>
      <w:rFonts w:ascii="Century" w:eastAsia="Century" w:hAnsi="Century" w:cs="Century"/>
    </w:rPr>
  </w:style>
  <w:style w:type="paragraph" w:customStyle="1" w:styleId="jaff9">
    <w:name w:val="様式項目（ja）"/>
    <w:basedOn w:val="a"/>
    <w:rsid w:val="00AE0B49"/>
    <w:pPr>
      <w:widowControl w:val="0"/>
      <w:ind w:left="221" w:firstLine="221"/>
    </w:pPr>
    <w:rPr>
      <w:rFonts w:ascii="ＭＳ 明朝" w:eastAsia="ＭＳ 明朝" w:hAnsi="ＭＳ 明朝" w:cs="ＭＳ 明朝"/>
    </w:rPr>
  </w:style>
  <w:style w:type="paragraph" w:customStyle="1" w:styleId="enff9">
    <w:name w:val="様式項目（en）"/>
    <w:basedOn w:val="jaff9"/>
    <w:rsid w:val="00AE0B49"/>
    <w:rPr>
      <w:rFonts w:ascii="Century" w:eastAsia="Century" w:hAnsi="Century" w:cs="Century"/>
    </w:rPr>
  </w:style>
  <w:style w:type="table" w:customStyle="1" w:styleId="1">
    <w:name w:val="表1"/>
    <w:rsid w:val="00AE0B49"/>
    <w:tblPr>
      <w:tblInd w:w="340" w:type="dxa"/>
      <w:tblCellMar>
        <w:top w:w="0" w:type="dxa"/>
        <w:left w:w="0" w:type="dxa"/>
        <w:bottom w:w="0" w:type="dxa"/>
        <w:right w:w="0" w:type="dxa"/>
      </w:tblCellMar>
    </w:tblPr>
  </w:style>
  <w:style w:type="numbering" w:customStyle="1" w:styleId="WW8Num1">
    <w:name w:val="WW8Num1"/>
    <w:rsid w:val="00AE0B49"/>
    <w:pPr>
      <w:numPr>
        <w:numId w:val="2"/>
      </w:numPr>
    </w:pPr>
  </w:style>
  <w:style w:type="numbering" w:customStyle="1" w:styleId="WW8Num2">
    <w:name w:val="WW8Num2"/>
    <w:rsid w:val="00AE0B49"/>
    <w:pPr>
      <w:numPr>
        <w:numId w:val="3"/>
      </w:numPr>
    </w:pPr>
  </w:style>
  <w:style w:type="numbering" w:customStyle="1" w:styleId="WW8Num3">
    <w:name w:val="WW8Num3"/>
    <w:rsid w:val="00AE0B49"/>
    <w:pPr>
      <w:numPr>
        <w:numId w:val="4"/>
      </w:numPr>
    </w:pPr>
  </w:style>
  <w:style w:type="numbering" w:customStyle="1" w:styleId="WW8Num4">
    <w:name w:val="WW8Num4"/>
    <w:rsid w:val="00AE0B49"/>
    <w:pPr>
      <w:numPr>
        <w:numId w:val="5"/>
      </w:numPr>
    </w:pPr>
  </w:style>
  <w:style w:type="numbering" w:customStyle="1" w:styleId="WW8Num5">
    <w:name w:val="WW8Num5"/>
    <w:rsid w:val="00AE0B49"/>
    <w:pPr>
      <w:numPr>
        <w:numId w:val="6"/>
      </w:numPr>
    </w:pPr>
  </w:style>
  <w:style w:type="numbering" w:customStyle="1" w:styleId="WW8Num6">
    <w:name w:val="WW8Num6"/>
    <w:rsid w:val="00AE0B49"/>
    <w:pPr>
      <w:numPr>
        <w:numId w:val="7"/>
      </w:numPr>
    </w:pPr>
  </w:style>
  <w:style w:type="numbering" w:customStyle="1" w:styleId="WW8Num7">
    <w:name w:val="WW8Num7"/>
    <w:rsid w:val="00AE0B49"/>
    <w:pPr>
      <w:numPr>
        <w:numId w:val="8"/>
      </w:numPr>
    </w:pPr>
  </w:style>
  <w:style w:type="numbering" w:customStyle="1" w:styleId="WW8Num8">
    <w:name w:val="WW8Num8"/>
    <w:rsid w:val="00AE0B49"/>
    <w:pPr>
      <w:numPr>
        <w:numId w:val="9"/>
      </w:numPr>
    </w:pPr>
  </w:style>
  <w:style w:type="numbering" w:customStyle="1" w:styleId="WW8Num9">
    <w:name w:val="WW8Num9"/>
    <w:rsid w:val="00AE0B49"/>
    <w:pPr>
      <w:numPr>
        <w:numId w:val="10"/>
      </w:numPr>
    </w:pPr>
  </w:style>
  <w:style w:type="numbering" w:customStyle="1" w:styleId="WW8Num10">
    <w:name w:val="WW8Num10"/>
    <w:rsid w:val="00AE0B49"/>
    <w:pPr>
      <w:numPr>
        <w:numId w:val="11"/>
      </w:numPr>
    </w:pPr>
  </w:style>
  <w:style w:type="numbering" w:customStyle="1" w:styleId="WW8Num11">
    <w:name w:val="WW8Num11"/>
    <w:rsid w:val="00AE0B49"/>
    <w:pPr>
      <w:numPr>
        <w:numId w:val="12"/>
      </w:numPr>
    </w:pPr>
  </w:style>
  <w:style w:type="numbering" w:customStyle="1" w:styleId="WW8Num12">
    <w:name w:val="WW8Num12"/>
    <w:rsid w:val="00AE0B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6055</Words>
  <Characters>34515</Characters>
  <Application>Microsoft Office Word</Application>
  <DocSecurity>0</DocSecurity>
  <Lines>287</Lines>
  <Paragraphs>80</Paragraphs>
  <ScaleCrop>false</ScaleCrop>
  <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2025-03-06T04:42:00Z</dcterms:created>
  <dcterms:modified xsi:type="dcterms:W3CDTF">2025-03-06T04:42:00Z</dcterms:modified>
</cp:coreProperties>
</file>