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4B65" w:rsidRDefault="00F06C39">
      <w:pPr>
        <w:pStyle w:val="en"/>
      </w:pPr>
      <w:r>
        <w:t>Regulation for Enforcement of the Act on Special Measures Concerning Freezing of Assets Implemented by Japan in Light of the United Nations Security Council Resolution 1267</w:t>
      </w:r>
    </w:p>
    <w:p w:rsidR="00204B65" w:rsidRDefault="00204B65"/>
    <w:p w:rsidR="00204B65" w:rsidRDefault="00F06C39">
      <w:pPr>
        <w:pStyle w:val="enf"/>
      </w:pPr>
      <w:r>
        <w:t>(Rules of the National Public Safety Commission No. 16 of October 2, 2015)</w:t>
      </w:r>
    </w:p>
    <w:p w:rsidR="00204B65" w:rsidRDefault="00204B65"/>
    <w:p w:rsidR="00204B65" w:rsidRDefault="00F06C39">
      <w:pPr>
        <w:pStyle w:val="ene"/>
      </w:pPr>
      <w:r>
        <w:t>Pursuant to the provisions of Article 3, paragraphs (1) and (2) (including as applied mutatis mutandis pursuant to paragraph (3) of that Article), Article 5, paragraphs (1) and (3) (including as applied mutatis mutandis pursuant to Article 6, paragraph (2) and Article 7, paragraph (2) of that Act), and paragraph (4), Article 8, paragraph (9), Article 10, Article 13, Article 16, paragraph (1), Article 17, paragraphs (1), (2) through (5), and (7) (including as applied mutatis mutandis pursuant to paragraph (8</w:t>
      </w:r>
      <w:r>
        <w:t>) of that Article), Article 22, Article 23, and Article 28 of the Act on Special Measures Concerning Freezing of Assets of International Terrorists Implemented by Japan in Light of the United Nations Security Council Resolution 1267 (Act No. 124 of 2014), the Regulation for Enforcement of the Act on Special Measures concerning the Freezing of Assets of International Terrorists Implemented by Japan in Light of the United Nations Security Council Resolution 1267, is hereby established as follows.</w:t>
      </w:r>
    </w:p>
    <w:p w:rsidR="00204B65" w:rsidRDefault="00204B65"/>
    <w:p w:rsidR="00204B65" w:rsidRDefault="00F06C39">
      <w:pPr>
        <w:pStyle w:val="enf0"/>
      </w:pPr>
      <w:r>
        <w:t>Table of Contents</w:t>
      </w:r>
    </w:p>
    <w:p w:rsidR="00204B65" w:rsidRDefault="00F06C39">
      <w:pPr>
        <w:pStyle w:val="en5"/>
      </w:pPr>
      <w:r>
        <w:t>Chapter I Public Notice and Designation (Articles 1 to 16)</w:t>
      </w:r>
    </w:p>
    <w:p w:rsidR="00204B65" w:rsidRDefault="00F06C39">
      <w:pPr>
        <w:pStyle w:val="en5"/>
      </w:pPr>
      <w:r>
        <w:t>Chapter II Measures Such as Freezing of Assets of Persons Subject to Freezing of Assets</w:t>
      </w:r>
    </w:p>
    <w:p w:rsidR="00204B65" w:rsidRDefault="00F06C39">
      <w:pPr>
        <w:pStyle w:val="en6"/>
      </w:pPr>
      <w:r>
        <w:t>Section 1 Restrictions on Acts Relating to Assets Subject to Regulations (Articles 17 to 25)</w:t>
      </w:r>
    </w:p>
    <w:p w:rsidR="00204B65" w:rsidRDefault="00F06C39">
      <w:pPr>
        <w:pStyle w:val="en6"/>
      </w:pPr>
      <w:r>
        <w:t>Section 2 Provisional Retention of Assets Subject to Regulations (Articles 26 to 32)</w:t>
      </w:r>
    </w:p>
    <w:p w:rsidR="00204B65" w:rsidRDefault="00F06C39">
      <w:pPr>
        <w:pStyle w:val="en6"/>
      </w:pPr>
      <w:r>
        <w:t>Section 3 Submission of Materials and Other Forms of Cooperation (Articles 33 to 35)</w:t>
      </w:r>
    </w:p>
    <w:p w:rsidR="00204B65" w:rsidRDefault="00F06C39">
      <w:pPr>
        <w:pStyle w:val="en5"/>
      </w:pPr>
      <w:r>
        <w:t>Chapter III Miscellaneous Provisions (Articles 36 to 40)</w:t>
      </w:r>
    </w:p>
    <w:p w:rsidR="00204B65" w:rsidRDefault="00F06C39">
      <w:pPr>
        <w:pStyle w:val="enc"/>
      </w:pPr>
      <w:r>
        <w:t>Supplementary Provisions</w:t>
      </w:r>
    </w:p>
    <w:p w:rsidR="00204B65" w:rsidRDefault="00204B65"/>
    <w:p w:rsidR="00204B65" w:rsidRDefault="00F06C39">
      <w:pPr>
        <w:pStyle w:val="en3"/>
      </w:pPr>
      <w:r>
        <w:t>Chapter I Public Notice and Designation</w:t>
      </w:r>
    </w:p>
    <w:p w:rsidR="00204B65" w:rsidRDefault="00204B65"/>
    <w:p w:rsidR="00204B65" w:rsidRDefault="00F06C39">
      <w:pPr>
        <w:pStyle w:val="ena"/>
      </w:pPr>
      <w:r>
        <w:t>(Matters Subject to Public Notice in Relation to Entries in the List)</w:t>
      </w:r>
    </w:p>
    <w:p w:rsidR="00204B65" w:rsidRDefault="00F06C39">
      <w:pPr>
        <w:pStyle w:val="enf3"/>
      </w:pPr>
      <w:r>
        <w:t xml:space="preserve">Article 1  The matters specified by the Rules of the National Public Safety Commission as referred to in Article 3, paragraphs (1) and (2) of the Act on Special Measures Concerning Freezing of Assets Implemented by Japan in </w:t>
      </w:r>
      <w:r>
        <w:lastRenderedPageBreak/>
        <w:t>Light of the United Nations Security Council Resolution 1267 (Act No. 124 of 2014; referred to as the "Act" below) are the matters specified respectively in the following items for the category of cases stated in that item:</w:t>
      </w:r>
    </w:p>
    <w:p w:rsidR="00204B65" w:rsidRDefault="00F06C39">
      <w:pPr>
        <w:pStyle w:val="enf6"/>
      </w:pPr>
      <w:r>
        <w:t>(i) if a person on the list (meaning the list of international terrorists prescribed in Article 3, paragraph (1) of the Act or the list of persons involved in weapons of mass destruction programs and activities, etc. prescribed in Article 3, paragraph (2) of the Act; the same applies in this Article below) (referred to as a "person on the list" in this Article below) is a natural person: a statement to the effect that the person on the list has been entered on the list, the name, alias, title, position, dat</w:t>
      </w:r>
      <w:r>
        <w:t>e of birth, place of birth, nationality, passport number, and address of the person on the list, the date on which the person on the list was entered on the list, the number of the public notice of the person on the list (referred to below as the "public notice number of the person on the list"), and other relevant matters for reference;</w:t>
      </w:r>
    </w:p>
    <w:p w:rsidR="00204B65" w:rsidRDefault="00F06C39">
      <w:pPr>
        <w:pStyle w:val="enf6"/>
      </w:pPr>
      <w:r>
        <w:t>(ii) if a person on the list is a corporation or any other organization: a statement to the effect that the person on the list has been entered on the list, the name, alias, former name, and location of the person on the list, the date on which the person on the list was entered on the list, the public notice number of the person on the list, and other relevant matters for reference.</w:t>
      </w:r>
    </w:p>
    <w:p w:rsidR="00204B65" w:rsidRDefault="00204B65"/>
    <w:p w:rsidR="00204B65" w:rsidRDefault="00F06C39">
      <w:pPr>
        <w:pStyle w:val="ena"/>
      </w:pPr>
      <w:r>
        <w:t>(Method of Notice of Matters Subject to Public Notice)</w:t>
      </w:r>
    </w:p>
    <w:p w:rsidR="00204B65" w:rsidRDefault="00F06C39">
      <w:pPr>
        <w:pStyle w:val="enf3"/>
      </w:pPr>
      <w:r>
        <w:t>Article 2  The notice pursuant to the provisions of Article 3, paragraph (3) of the Act is to be given by sending a written notice of matters subject to public notice stated in Appended Form 1.</w:t>
      </w:r>
    </w:p>
    <w:p w:rsidR="00204B65" w:rsidRDefault="00204B65"/>
    <w:p w:rsidR="00204B65" w:rsidRDefault="00F06C39">
      <w:pPr>
        <w:pStyle w:val="ena"/>
      </w:pPr>
      <w:r>
        <w:t>(Method of Notice Relating to Changes to the Matters Subject to Public Notice)</w:t>
      </w:r>
    </w:p>
    <w:p w:rsidR="00204B65" w:rsidRDefault="00F06C39">
      <w:pPr>
        <w:pStyle w:val="enf3"/>
      </w:pPr>
      <w:r>
        <w:t>Article 3  The notice pursuant to the provisions of Article 3, paragraph (4) of the Act is to be given by sending a written notice of change of matters subject to public notice stated in Appended Form 2.</w:t>
      </w:r>
    </w:p>
    <w:p w:rsidR="00204B65" w:rsidRDefault="00204B65"/>
    <w:p w:rsidR="00204B65" w:rsidRDefault="00F06C39">
      <w:pPr>
        <w:pStyle w:val="ena"/>
      </w:pPr>
      <w:r>
        <w:t>(Method of Notice Relating to Deletion from List)</w:t>
      </w:r>
    </w:p>
    <w:p w:rsidR="00204B65" w:rsidRDefault="00F06C39">
      <w:pPr>
        <w:pStyle w:val="enf3"/>
      </w:pPr>
      <w:r>
        <w:t xml:space="preserve">Article 4  The notice pursuant to the provisions of Article 3, paragraph (4) of the Act, as applied mutatis mutandis pursuant to paragraph (5) of that Article, is to be given by </w:t>
      </w:r>
      <w:r>
        <w:t>sending a written notice of deletion from the list in Appended Form 3, or a written notice of expiration of the resolution in Appended Form 3-2.</w:t>
      </w:r>
    </w:p>
    <w:p w:rsidR="00204B65" w:rsidRDefault="00204B65"/>
    <w:p w:rsidR="00204B65" w:rsidRDefault="00F06C39">
      <w:pPr>
        <w:pStyle w:val="ena"/>
      </w:pPr>
      <w:r>
        <w:t>(Matters Subject to Public Notice Relating to Designation)</w:t>
      </w:r>
    </w:p>
    <w:p w:rsidR="00204B65" w:rsidRDefault="00F06C39">
      <w:pPr>
        <w:pStyle w:val="enf3"/>
      </w:pPr>
      <w:r>
        <w:t xml:space="preserve">Article 5  The matters specified by the Rules of the National Public Safety Commission as referred to in Article 5, paragraph (1) of the Act (excluding those concerning provisional designation (meaning provisional designation as </w:t>
      </w:r>
      <w:r>
        <w:lastRenderedPageBreak/>
        <w:t>prescribed in Article 8, paragraph (2) of the Act; the same applies below)) are the matters specified respectively in the following items for the category of cases stated in each of those items:</w:t>
      </w:r>
    </w:p>
    <w:p w:rsidR="00204B65" w:rsidRDefault="00F06C39">
      <w:pPr>
        <w:pStyle w:val="enf6"/>
      </w:pPr>
      <w:r>
        <w:t>(i) if the person subject to the designation (meaning the designation prescribed in Article 4, paragraph (2) of the Act; the same applies below) (referred to below as the "designated person") is a natural person: a statement to the effect that the designation is to be made, the name, alias, title, position, date of birth, place of birth, nationality, passport number, and address of the designated person, the number relating to the designation (referred to below as the "designation number"), the effective pe</w:t>
      </w:r>
      <w:r>
        <w:t>riod of the designation, the provisions on which the designation is based, and other relevant matters for reference;</w:t>
      </w:r>
    </w:p>
    <w:p w:rsidR="00204B65" w:rsidRDefault="00F06C39">
      <w:pPr>
        <w:pStyle w:val="enf6"/>
      </w:pPr>
      <w:r>
        <w:t>(ii) if the designated person is a corporation or any other organization: a statement to the effect that a designation is to be made, the name, alias, former name, and location of the designated person, the designation number, the effective period of the designation, the provisions on which the designation is based, and any other relevant matters for reference.</w:t>
      </w:r>
    </w:p>
    <w:p w:rsidR="00204B65" w:rsidRDefault="00204B65"/>
    <w:p w:rsidR="00204B65" w:rsidRDefault="00F06C39">
      <w:pPr>
        <w:pStyle w:val="ena"/>
      </w:pPr>
      <w:r>
        <w:t>(Matters to be Notified Relating to Designation)</w:t>
      </w:r>
    </w:p>
    <w:p w:rsidR="00204B65" w:rsidRDefault="00F06C39">
      <w:pPr>
        <w:pStyle w:val="enf3"/>
      </w:pPr>
      <w:r>
        <w:t>Article 6  The matters specified by the Rules of the National Public Safety Commission as referred to in Article 5, paragraph (3) of the Act (excluding those relating to provisional designation) are the matters specified in each of the following items for the category of cases stated in the item:</w:t>
      </w:r>
    </w:p>
    <w:p w:rsidR="00204B65" w:rsidRDefault="00F06C39">
      <w:pPr>
        <w:pStyle w:val="enf6"/>
      </w:pPr>
      <w:r>
        <w:t>(i) if the designated person is a natural person: a statement to the effect that the designation has been made, the name, alias, title, position, date of birth, place of birth, nationality, passport number and address of the designated person, designation number, reason for the designation, date of the designation, effective period of the designation, and other matters for reference;</w:t>
      </w:r>
    </w:p>
    <w:p w:rsidR="00204B65" w:rsidRDefault="00F06C39">
      <w:pPr>
        <w:pStyle w:val="enf6"/>
      </w:pPr>
      <w:r>
        <w:t>(ii) if the designated person is a corporation or any other organization: a statement to the effect that the designation has been made, the name, alias, former name, and location of the designated person, the designation number, reason for the designation, date of the designation, the effective period of the designation, and other matters for reference.</w:t>
      </w:r>
    </w:p>
    <w:p w:rsidR="00204B65" w:rsidRDefault="00204B65"/>
    <w:p w:rsidR="00204B65" w:rsidRDefault="00F06C39">
      <w:pPr>
        <w:pStyle w:val="ena"/>
      </w:pPr>
      <w:r>
        <w:t>(Method of Notice Relating to Designation)</w:t>
      </w:r>
    </w:p>
    <w:p w:rsidR="00204B65" w:rsidRDefault="00F06C39">
      <w:pPr>
        <w:pStyle w:val="enf3"/>
      </w:pPr>
      <w:r>
        <w:t>Article 7  The notice pursuant to the provisions of Article 5, paragraph (3) of the Act (excluding those relating to provisional designation) is to be given by sending a written notice of designation in Appended Form 4.</w:t>
      </w:r>
    </w:p>
    <w:p w:rsidR="00204B65" w:rsidRDefault="00204B65"/>
    <w:p w:rsidR="00204B65" w:rsidRDefault="00F06C39">
      <w:pPr>
        <w:pStyle w:val="ena"/>
      </w:pPr>
      <w:r>
        <w:t>(Method of Giving Notice of Changes to Matters Subject to Public Notice in Relation to Designation)</w:t>
      </w:r>
    </w:p>
    <w:p w:rsidR="00204B65" w:rsidRDefault="00F06C39">
      <w:pPr>
        <w:pStyle w:val="enf3"/>
      </w:pPr>
      <w:r>
        <w:t>Article 8  The notice pursuant to the provisions of Article 5, paragraph (4) of the Act (excluding those relating to provisional designation) is to be given by sending a written notice of change to matters subject to public notice of designation in Appended Form 5.</w:t>
      </w:r>
    </w:p>
    <w:p w:rsidR="00204B65" w:rsidRDefault="00204B65"/>
    <w:p w:rsidR="00204B65" w:rsidRDefault="00F06C39">
      <w:pPr>
        <w:pStyle w:val="ena"/>
      </w:pPr>
      <w:r>
        <w:t>(Matters Subject to Public Notice in Relation to Extension of the Effective Period of Designation)</w:t>
      </w:r>
    </w:p>
    <w:p w:rsidR="00204B65" w:rsidRDefault="00F06C39">
      <w:pPr>
        <w:pStyle w:val="enf3"/>
      </w:pPr>
      <w:r>
        <w:t xml:space="preserve">Article 9  The matters specified by the Rules of the National Public Safety Commission as referred to in Article 5, paragraph (1) of the Act, as applied mutatis mutandis pursuant to Article 6, paragraph (2) of the Act, are the statement to the effect that the effective period of the designation is to be extended, the name of the person subject to the extension of the effective period of the designation (referred to below as the "person designated for extension"), the date on which the designation was made, </w:t>
      </w:r>
      <w:r>
        <w:t>the designation number, the effective period of the designation after the extension, the provisions that constitutes grounds for the extension of the effective period of the designation, and other matters for reference.</w:t>
      </w:r>
    </w:p>
    <w:p w:rsidR="00204B65" w:rsidRDefault="00204B65"/>
    <w:p w:rsidR="00204B65" w:rsidRDefault="00F06C39">
      <w:pPr>
        <w:pStyle w:val="ena"/>
      </w:pPr>
      <w:r>
        <w:t>(Matters to Be Notified in Relation to Extension of the Effective Period of Designation)</w:t>
      </w:r>
    </w:p>
    <w:p w:rsidR="00204B65" w:rsidRDefault="00F06C39">
      <w:pPr>
        <w:pStyle w:val="enf3"/>
      </w:pPr>
      <w:r>
        <w:t>Article 10  The matters specified by the Rules of the National Public Safety Commission as referred to in Article 5, paragraph (3) of the Act as applied mutatis mutandis pursuant to Article 6, paragraph (2) of the Act are the statement to the effect that the effective period of the designation has been extended, the name of the person designated for extension, the designation number, the reason for extending the effective period of the designation, the date on which the effective period of the designation w</w:t>
      </w:r>
      <w:r>
        <w:t>as extended, the effective period of the designation after the extension, and other matters for reference.</w:t>
      </w:r>
    </w:p>
    <w:p w:rsidR="00204B65" w:rsidRDefault="00204B65"/>
    <w:p w:rsidR="00204B65" w:rsidRDefault="00F06C39">
      <w:pPr>
        <w:pStyle w:val="ena"/>
      </w:pPr>
      <w:r>
        <w:t>(Method of Notice Relating to Extension of the Effective Period of Designation)</w:t>
      </w:r>
    </w:p>
    <w:p w:rsidR="00204B65" w:rsidRDefault="00F06C39">
      <w:pPr>
        <w:pStyle w:val="enf3"/>
      </w:pPr>
      <w:r>
        <w:t>Article 11  The notice pursuant to the provisions of Article 5, paragraph (3) of the Act as applied mutatis mutandis pursuant to Article 6, paragraph (2) of the Act is to be given by sending a written notice of extension of the effective period of designation stated in Appended Form 6.</w:t>
      </w:r>
    </w:p>
    <w:p w:rsidR="00204B65" w:rsidRDefault="00204B65"/>
    <w:p w:rsidR="00204B65" w:rsidRDefault="00F06C39">
      <w:pPr>
        <w:pStyle w:val="ena"/>
      </w:pPr>
      <w:r>
        <w:t>(Matters Subject to Public Notice Relating to Revocation of Designation)</w:t>
      </w:r>
    </w:p>
    <w:p w:rsidR="00204B65" w:rsidRDefault="00F06C39">
      <w:pPr>
        <w:pStyle w:val="enf3"/>
      </w:pPr>
      <w:r>
        <w:t xml:space="preserve">Article 12  The matters specified by the </w:t>
      </w:r>
      <w:r>
        <w:t>Rules of the National Public Safety Commission as referred to in Article 5, paragraph (1) of the Act as applied mutatis mutandis pursuant to Article 7, paragraph (2) of the Act (excluding those relating to provisional designation) are a the statement to the effect that the designation is to be revoked, the name of the person relating to the revocation of the designation (referred to below as the "person whose designation is to be revoked"), the date on which the designation was made, the designation number,</w:t>
      </w:r>
      <w:r>
        <w:t xml:space="preserve"> the provisions on which the revocation of the designation is based, and other matters for reference.</w:t>
      </w:r>
    </w:p>
    <w:p w:rsidR="00204B65" w:rsidRDefault="00204B65"/>
    <w:p w:rsidR="00204B65" w:rsidRDefault="00F06C39">
      <w:pPr>
        <w:pStyle w:val="ena"/>
      </w:pPr>
      <w:r>
        <w:t>(Matters to Be Notified Concerning Revocation of Designation)</w:t>
      </w:r>
    </w:p>
    <w:p w:rsidR="00204B65" w:rsidRDefault="00F06C39">
      <w:pPr>
        <w:pStyle w:val="enf3"/>
      </w:pPr>
      <w:r>
        <w:t>Article 13  The matters specified by the Rules of the National Public Safety Commission referred to in Article 5, paragraph (3) of the Act as applied mutatis mutandis pursuant to Article 7, paragraph (2) of the Act (excluding those relating to provisional designation) are the statement to the effect that the designation has been revoked, the name of the person whose designation has been revoked, the designation number, the provisions on which the revocation of the designation is based, the date on which the</w:t>
      </w:r>
      <w:r>
        <w:t xml:space="preserve"> designation was revoked, and other matters for reference.</w:t>
      </w:r>
    </w:p>
    <w:p w:rsidR="00204B65" w:rsidRDefault="00204B65"/>
    <w:p w:rsidR="00204B65" w:rsidRDefault="00F06C39">
      <w:pPr>
        <w:pStyle w:val="ena"/>
      </w:pPr>
      <w:r>
        <w:t>(Method of Notice Relating to Revocation of Designation)</w:t>
      </w:r>
    </w:p>
    <w:p w:rsidR="00204B65" w:rsidRDefault="00F06C39">
      <w:pPr>
        <w:pStyle w:val="enf3"/>
      </w:pPr>
      <w:r>
        <w:t>Article 14  The notice pursuant to the provisions of Article 5, paragraph (3) of the Act as applied mutatis mutandis pursuant to Article 7, paragraph (2) of the Act (excluding those relating to provisional designation) is to be given by sending a written notice of revocation of designation in Appended Form 7.</w:t>
      </w:r>
    </w:p>
    <w:p w:rsidR="00204B65" w:rsidRDefault="00204B65"/>
    <w:p w:rsidR="00204B65" w:rsidRDefault="00F06C39">
      <w:pPr>
        <w:pStyle w:val="ena"/>
      </w:pPr>
      <w:r>
        <w:t>(Matters Subject to Public Notice and Matters to be Notified Relating to Provisional Designation)</w:t>
      </w:r>
    </w:p>
    <w:p w:rsidR="00204B65" w:rsidRDefault="00F06C39">
      <w:pPr>
        <w:pStyle w:val="enf3"/>
      </w:pPr>
      <w:r>
        <w:t>Article 15  The provisions of Articles 5 through 8, and Article 12 through the preceding Article apply mutatis mutandis to provisional designation. In this case, in the provisions stated in the left-hand column of the following table, the terms stated in the middle column of the same table are to be replaced with the terms stated respectively in the right-hand column of the same table.</w:t>
      </w:r>
    </w:p>
    <w:p w:rsidR="00204B65" w:rsidRDefault="00204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204B6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Provisions containing the terms or phrases to be replaced</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Original terms and phrases</w:t>
            </w:r>
          </w:p>
        </w:tc>
        <w:tc>
          <w:tcPr>
            <w:tcW w:w="2897" w:type="dxa"/>
            <w:tcBorders>
              <w:top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Terms and phrases to replace the original</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 5</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Matters specified by the Rules of the National Public </w:t>
            </w:r>
            <w:r>
              <w:t>Safety Commission .... (excluding those concerning provisional designation (meaning provisional designation as prescribed in Article 8, paragraph (2) of the Act; the same applies below))</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Matters specified by the Rules of the National Public Safety Commission</w:t>
            </w:r>
          </w:p>
        </w:tc>
      </w:tr>
      <w:tr w:rsidR="00204B65">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204B65" w:rsidRDefault="00F06C39">
            <w:pPr>
              <w:pStyle w:val="jaen"/>
            </w:pPr>
            <w:r>
              <w:t>Article 5, item (i)</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the person subject to the designtion (meaning the designation prescribed in Article 4, paragraph (2) of the Act; the same applies below) (referred to below as the "designated person " )</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the person relating to the </w:t>
            </w:r>
            <w:r>
              <w:t>provisional designation ( referred to below as a "person subject to provisional designation" )</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204B65">
            <w:pPr>
              <w:pStyle w:val="jaen"/>
            </w:pP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The number relating to the designation (referred to below as the "designation number")</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The number relating to the provisional designation ( referred to below as the "provisional designation number")</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Articles 6, 12, and 13</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Matters specified by the Rules of the National Public Safety Commission (excluding those relating to provisional designation)</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Matters specified by the rules of the National Public Safety Commission</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Articles 7, 8, and 14</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Notice pursuant to the provisions of .... (excluding those relating to provisional designation)</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Notice pursuant to the provisions of</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 7</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Written notice of designation in Appended Form 4</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Written notice of </w:t>
            </w:r>
            <w:r>
              <w:t>provisional designation in Appended Form 8</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 8</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Written notice of change to matters subject to public notice of designation in Appended Form 5</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Written notice of change to matters subject to public notice of provisional designation in Appended Form 9</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 12</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person relating to the revocation of the designation ( referred to below as the "person whose designation is to revoked " )</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A person relating to the revocation of the provisional designation ( referred to below as the "person whose provisional designation is to be revoked" )</w:t>
            </w:r>
          </w:p>
        </w:tc>
      </w:tr>
      <w:tr w:rsidR="00204B65">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Article 14</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Written notice of revocation of designation in Appended Form 7</w:t>
            </w:r>
          </w:p>
        </w:tc>
        <w:tc>
          <w:tcPr>
            <w:tcW w:w="2897"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Written notice of revocation of provisional designation in Appended Form 10</w:t>
            </w:r>
          </w:p>
        </w:tc>
      </w:tr>
    </w:tbl>
    <w:p w:rsidR="00204B65" w:rsidRDefault="00204B65"/>
    <w:p w:rsidR="00204B65" w:rsidRDefault="00F06C39">
      <w:pPr>
        <w:pStyle w:val="ena"/>
      </w:pPr>
      <w:r>
        <w:t>(Revocation of Provisional Designation after Hearing of Opinions)</w:t>
      </w:r>
    </w:p>
    <w:p w:rsidR="00204B65" w:rsidRDefault="00F06C39">
      <w:pPr>
        <w:pStyle w:val="enf3"/>
      </w:pPr>
      <w:r>
        <w:t>Article 16  (1) When revoking a provisional designation pursuant to the provisions of Article 8, paragraph (7) of the Act, the National Public Safety Commission is to issue public notice of the matters prescribed in Article 12 as applied mutatis mutandis pursuant to the preceding Article, in the Official Gazette.</w:t>
      </w:r>
    </w:p>
    <w:p w:rsidR="00204B65" w:rsidRDefault="00F06C39">
      <w:pPr>
        <w:pStyle w:val="enf4"/>
      </w:pPr>
      <w:r>
        <w:t xml:space="preserve">(2) The revocation of a provisional designation under the provisions of Article 8, paragraph (7) of the Act becomes effective through public notice under the provisions of the preceding </w:t>
      </w:r>
      <w:r>
        <w:t>paragraph.</w:t>
      </w:r>
    </w:p>
    <w:p w:rsidR="00204B65" w:rsidRDefault="00F06C39">
      <w:pPr>
        <w:pStyle w:val="enf4"/>
      </w:pPr>
      <w:r>
        <w:t>(3) If the National Public Safety Commission revokes a provisional designation pursuant to the provisions of Article 8, paragraph (7) of the Act and the whereabouts of the person whose provisional designation has been revoked is known, the National Public Safety Commission is to notify the person of the matters prescribed in Article 13 as applied mutatis mutandis pursuant to the preceding Article.</w:t>
      </w:r>
    </w:p>
    <w:p w:rsidR="00204B65" w:rsidRDefault="00F06C39">
      <w:pPr>
        <w:pStyle w:val="enf4"/>
      </w:pPr>
      <w:r>
        <w:t>(4) The notice pursuant to the provisions of the preceding paragraph is to be given by sending a written notice of revocation of provisional designation in Appended Form 10.</w:t>
      </w:r>
    </w:p>
    <w:p w:rsidR="00204B65" w:rsidRDefault="00204B65"/>
    <w:p w:rsidR="00204B65" w:rsidRDefault="00F06C39">
      <w:pPr>
        <w:pStyle w:val="en3"/>
      </w:pPr>
      <w:r>
        <w:t>Chapter II Measures Such as Freezing of Assets of Persons Subject to Freezing of Assets</w:t>
      </w:r>
    </w:p>
    <w:p w:rsidR="00204B65" w:rsidRDefault="00F06C39">
      <w:pPr>
        <w:pStyle w:val="enf2"/>
      </w:pPr>
      <w:r>
        <w:t>Section 1 Restrictions on Acts Relating to Assets Subject to Regulations</w:t>
      </w:r>
    </w:p>
    <w:p w:rsidR="00204B65" w:rsidRDefault="00204B65"/>
    <w:p w:rsidR="00204B65" w:rsidRDefault="00F06C39">
      <w:pPr>
        <w:pStyle w:val="ena"/>
      </w:pPr>
      <w:r>
        <w:t>(Application for Permission)</w:t>
      </w:r>
    </w:p>
    <w:p w:rsidR="00204B65" w:rsidRDefault="00F06C39">
      <w:pPr>
        <w:pStyle w:val="enf3"/>
      </w:pPr>
      <w:r>
        <w:t>Article 17  (1) An application pursuant to the provisions of Article 10, paragraph (1) of the Act (referred to as "application for permission" below) is to be made by a written application for permission in Appended Form 11.</w:t>
      </w:r>
    </w:p>
    <w:p w:rsidR="00204B65" w:rsidRDefault="00F06C39">
      <w:pPr>
        <w:pStyle w:val="enf4"/>
      </w:pPr>
      <w:r>
        <w:t>(2) The written application for permission referred to in the preceding paragraph must be submitted via the chief of the police station with jurisdiction over the domicile, etc. (meaning the domicile, etc. prescribed in Article 10, paragraph (1) of the Act; the same applies below) (if the person has no domicile, etc. in Japan, the chief of the police station with jurisdiction over the place most closely connected with the act for which the person is applying for permission).</w:t>
      </w:r>
    </w:p>
    <w:p w:rsidR="00204B65" w:rsidRDefault="00204B65"/>
    <w:p w:rsidR="00204B65" w:rsidRDefault="00F06C39">
      <w:pPr>
        <w:pStyle w:val="ena"/>
      </w:pPr>
      <w:r>
        <w:t>(Matters to Be Stated in a Written Application for Permission)</w:t>
      </w:r>
    </w:p>
    <w:p w:rsidR="00204B65" w:rsidRDefault="00F06C39">
      <w:pPr>
        <w:pStyle w:val="enf3"/>
      </w:pPr>
      <w:r>
        <w:t>Article 18  The matters specified by the Rules of the National Public Safety Commission as referred to in Article 10, paragraph (1), item (v) of the Act are as follows:</w:t>
      </w:r>
    </w:p>
    <w:p w:rsidR="00204B65" w:rsidRDefault="00F06C39">
      <w:pPr>
        <w:pStyle w:val="enf6"/>
      </w:pPr>
      <w:r>
        <w:t>(i) the date and place where the person intends to carry out the act related to the application for permission;</w:t>
      </w:r>
    </w:p>
    <w:p w:rsidR="00204B65" w:rsidRDefault="00F06C39">
      <w:pPr>
        <w:pStyle w:val="enf6"/>
      </w:pPr>
      <w:r>
        <w:t>(ii) the relationship with the counterparty of the act related to the application for permission;</w:t>
      </w:r>
    </w:p>
    <w:p w:rsidR="00204B65" w:rsidRDefault="00F06C39">
      <w:pPr>
        <w:pStyle w:val="enf6"/>
      </w:pPr>
      <w:r>
        <w:t>(iii) for cases in which there is any acquired assets (meaning the acquired assets defined in Article 10, paragraph (1), item (iii) of the Act; the same applies below), the method of its acquisition ;</w:t>
      </w:r>
    </w:p>
    <w:p w:rsidR="00204B65" w:rsidRDefault="00F06C39">
      <w:pPr>
        <w:pStyle w:val="enf6"/>
      </w:pPr>
      <w:r>
        <w:t>(iv) other relevant matters for reference.</w:t>
      </w:r>
    </w:p>
    <w:p w:rsidR="00204B65" w:rsidRDefault="00204B65"/>
    <w:p w:rsidR="00204B65" w:rsidRDefault="00F06C39">
      <w:pPr>
        <w:pStyle w:val="ena"/>
      </w:pPr>
      <w:r>
        <w:t>(Documents to Be Attached to a Written Application for Permission)</w:t>
      </w:r>
    </w:p>
    <w:p w:rsidR="00204B65" w:rsidRDefault="00F06C39">
      <w:pPr>
        <w:pStyle w:val="enf3"/>
      </w:pPr>
      <w:r>
        <w:t>Article 19  The documents specified by the Rules of the National Public Safety Commission as referred to in Article 10, paragraph (2) of the Act are the following documents:</w:t>
      </w:r>
    </w:p>
    <w:p w:rsidR="00204B65" w:rsidRDefault="00F06C39">
      <w:pPr>
        <w:pStyle w:val="enf6"/>
      </w:pPr>
      <w:r>
        <w:t>(i) in the case of an application for permission relating to any of the acts stated in Article 9, items (i) through (iv) of the Act; a document certifying that the acquired assets fall under any of the items of Article 11, paragraph (1) of the Act;</w:t>
      </w:r>
    </w:p>
    <w:p w:rsidR="00204B65" w:rsidRDefault="00F06C39">
      <w:pPr>
        <w:pStyle w:val="enf6"/>
      </w:pPr>
      <w:r>
        <w:t>(ii) in the case of an application for permission relating to the acts listed in Article 9, item (v) of the Act; a document certifying that the acts fall under the requirements prescribed in Article 11, paragraph (2) of the Act;</w:t>
      </w:r>
    </w:p>
    <w:p w:rsidR="00204B65" w:rsidRDefault="00F06C39">
      <w:pPr>
        <w:pStyle w:val="enf6"/>
      </w:pPr>
      <w:r>
        <w:t>(iii) if the application is filed by an agent; a document certifying the authority of the agent.</w:t>
      </w:r>
    </w:p>
    <w:p w:rsidR="00204B65" w:rsidRDefault="00204B65"/>
    <w:p w:rsidR="00204B65" w:rsidRDefault="00F06C39">
      <w:pPr>
        <w:pStyle w:val="ena"/>
      </w:pPr>
      <w:r>
        <w:t>(Form of License Certificate)</w:t>
      </w:r>
    </w:p>
    <w:p w:rsidR="00204B65" w:rsidRDefault="00F06C39">
      <w:pPr>
        <w:pStyle w:val="enf3"/>
      </w:pPr>
      <w:r>
        <w:t>Article 20  The form of the license certificate referred to in Article 13, paragraph (1) of the Act is as stated in Appended Form 12.</w:t>
      </w:r>
    </w:p>
    <w:p w:rsidR="00204B65" w:rsidRDefault="00204B65"/>
    <w:p w:rsidR="00204B65" w:rsidRDefault="00F06C39">
      <w:pPr>
        <w:pStyle w:val="ena"/>
      </w:pPr>
      <w:r>
        <w:t>(Application for Reissuance of License Certificate)</w:t>
      </w:r>
    </w:p>
    <w:p w:rsidR="00204B65" w:rsidRDefault="00F06C39">
      <w:pPr>
        <w:pStyle w:val="enf3"/>
      </w:pPr>
      <w:r>
        <w:t xml:space="preserve">Article 21  (1) A person seeking to have a license certificate reissued pursuant to the provisions of Article 13, </w:t>
      </w:r>
      <w:r>
        <w:t>paragraph (2) of the Act must submit a written application for reissuance of a license certificate in Appended Form 13 to the prefectural public safety commission that issued the relevant license certificate (referred to below as a "public safety commission").</w:t>
      </w:r>
    </w:p>
    <w:p w:rsidR="00204B65" w:rsidRDefault="00F06C39">
      <w:pPr>
        <w:pStyle w:val="enf4"/>
      </w:pPr>
      <w:r>
        <w:t>(2) If a person submits a written application for reissuance of a license certificate pursuant to the provisions of the preceding paragraph, the person must go through the chief of the police station via which the person has gone pursuant to Article 17, paragraph (2).</w:t>
      </w:r>
    </w:p>
    <w:p w:rsidR="00204B65" w:rsidRDefault="00204B65"/>
    <w:p w:rsidR="00204B65" w:rsidRDefault="00F06C39">
      <w:pPr>
        <w:pStyle w:val="ena"/>
      </w:pPr>
      <w:r>
        <w:t>(Return of License Certificate)</w:t>
      </w:r>
    </w:p>
    <w:p w:rsidR="00204B65" w:rsidRDefault="00F06C39">
      <w:pPr>
        <w:pStyle w:val="enf3"/>
      </w:pPr>
      <w:r>
        <w:t>Article 22  (1) A person seeking to return a license certificate pursuant to the provisions of Article 13, paragraph (3) of the Act must submit a written statement of reasons for returning the license certificate as referred to in Appended Form 14, accompanied by the license certificate, to the public safety commission that issued the permit.</w:t>
      </w:r>
    </w:p>
    <w:p w:rsidR="00204B65" w:rsidRDefault="00F06C39">
      <w:pPr>
        <w:pStyle w:val="enf4"/>
      </w:pPr>
      <w:r>
        <w:t>(2) In the case of submitting a statement of reasons for returning a license certificate pursuant to the provisions of the preceding paragraph, the provisions of paragraph (2) of the preceding Article is to apply mutatis mutandis.</w:t>
      </w:r>
    </w:p>
    <w:p w:rsidR="00204B65" w:rsidRDefault="00204B65"/>
    <w:p w:rsidR="00204B65" w:rsidRDefault="00F06C39">
      <w:pPr>
        <w:pStyle w:val="ena"/>
      </w:pPr>
      <w:r>
        <w:t>(Method of Issuing an Order Prohibiting the Performance of Obligations)</w:t>
      </w:r>
    </w:p>
    <w:p w:rsidR="00204B65" w:rsidRDefault="00F06C39">
      <w:pPr>
        <w:pStyle w:val="enf3"/>
      </w:pPr>
      <w:r>
        <w:t>Article 23  An order under the provisions of Article 16, paragraph (1) of the Act (referred to below as an "order prohibiting the performance of obligations") is to be issued by issuing a written order prohibiting the performance of obligations in Appended Form 15.</w:t>
      </w:r>
    </w:p>
    <w:p w:rsidR="00204B65" w:rsidRDefault="00204B65"/>
    <w:p w:rsidR="00204B65" w:rsidRDefault="00F06C39">
      <w:pPr>
        <w:pStyle w:val="ena"/>
      </w:pPr>
      <w:r>
        <w:t>(Matters to Be Notified Relating to an Order Prohibiting the Performance of Obligations)</w:t>
      </w:r>
    </w:p>
    <w:p w:rsidR="00204B65" w:rsidRDefault="00F06C39">
      <w:pPr>
        <w:pStyle w:val="enf3"/>
      </w:pPr>
      <w:r>
        <w:t xml:space="preserve">Article 24  The matters specified by the Rules of the National Public Safety Commission as referred to in Article 16, paragraph (1) of the Act are the fact that an order prohibiting the performance of obligations has been issued, the name and address of the person subject to the order prohibiting the performance of obligations, and in the case of a corporation or any other organization, the name of its representative, the content and valid period of the order prohibiting the performance of obligations, and </w:t>
      </w:r>
      <w:r>
        <w:t>the reasons for the order prohibiting the performance of obligations.</w:t>
      </w:r>
    </w:p>
    <w:p w:rsidR="00204B65" w:rsidRDefault="00204B65"/>
    <w:p w:rsidR="00204B65" w:rsidRDefault="00F06C39">
      <w:pPr>
        <w:pStyle w:val="ena"/>
      </w:pPr>
      <w:r>
        <w:t>(Method of Notice Relating to an Order Prohibiting the Performance of Obligations)</w:t>
      </w:r>
    </w:p>
    <w:p w:rsidR="00204B65" w:rsidRDefault="00F06C39">
      <w:pPr>
        <w:pStyle w:val="enf3"/>
      </w:pPr>
      <w:r>
        <w:t>Article 25  The notice under the provisions of Article 16, paragraph (1) of the Act is to be given by sending a written notice of an order prohibiting the performance of obligations in Appended Form 16.</w:t>
      </w:r>
    </w:p>
    <w:p w:rsidR="00204B65" w:rsidRDefault="00204B65"/>
    <w:p w:rsidR="00204B65" w:rsidRDefault="00F06C39">
      <w:pPr>
        <w:pStyle w:val="enf2"/>
      </w:pPr>
      <w:r>
        <w:t>Section 2 Provisional Retention of Assets Subject to Regulations</w:t>
      </w:r>
    </w:p>
    <w:p w:rsidR="00204B65" w:rsidRDefault="00204B65"/>
    <w:p w:rsidR="00204B65" w:rsidRDefault="00F06C39">
      <w:pPr>
        <w:pStyle w:val="ena"/>
      </w:pPr>
      <w:r>
        <w:t>(Method of Issuing an Order to Submit the Assets Subject to Regulations)</w:t>
      </w:r>
    </w:p>
    <w:p w:rsidR="00204B65" w:rsidRDefault="00F06C39">
      <w:pPr>
        <w:pStyle w:val="enf3"/>
      </w:pPr>
      <w:r>
        <w:t>Article 26  An order under the provisions of Article 17, paragraph (1) of the Act is to be given by issuing a written order to submit assets subject to regulations in Appended Form 17.</w:t>
      </w:r>
    </w:p>
    <w:p w:rsidR="00204B65" w:rsidRDefault="00204B65"/>
    <w:p w:rsidR="00204B65" w:rsidRDefault="00F06C39">
      <w:pPr>
        <w:pStyle w:val="ena"/>
      </w:pPr>
      <w:r>
        <w:t>(Provisional Retention Document)</w:t>
      </w:r>
    </w:p>
    <w:p w:rsidR="00204B65" w:rsidRDefault="00F06C39">
      <w:pPr>
        <w:pStyle w:val="enf3"/>
      </w:pPr>
      <w:r>
        <w:t>Article 27  (1) A public safety commission that has provisionally retained assets pursuant to Article 17, paragraph (1) of the Act, is to issue a provisional retention document in Appended Form 18 to a person submitting a assets subject to regulations (meaning assets subject to regulations as prescribed in that paragraph; the same applies below, except in Article 37, item (iv) and Article 38, item (iv) of the table) subject to the provisional retention.</w:t>
      </w:r>
    </w:p>
    <w:p w:rsidR="00204B65" w:rsidRDefault="00F06C39">
      <w:pPr>
        <w:pStyle w:val="enf4"/>
      </w:pPr>
      <w:r>
        <w:t xml:space="preserve">(2) In the case as referred to in the preceding paragraph, if the person submitting the assets subject to regulations in connection with the provisional retention is a person that manages the assets subject to regulations on behalf of a person subject to freezing of assets, etc. (meaning a person subject to freezing of assets, etc. as prescribed in Article 9 of the Act; the same applies below) and the whereabouts of the person subject to freezing of assets, etc. is known, the public safety commission is to </w:t>
      </w:r>
      <w:r>
        <w:t>send a copy of the provisional retention document referred to in the preceding paragraph to that person subject to freezing of assets, etc.</w:t>
      </w:r>
    </w:p>
    <w:p w:rsidR="00204B65" w:rsidRDefault="00204B65"/>
    <w:p w:rsidR="00204B65" w:rsidRDefault="00F06C39">
      <w:pPr>
        <w:pStyle w:val="ena"/>
      </w:pPr>
      <w:r>
        <w:t>(Succession of Assets Subject to Regulations under Provisional Retention)</w:t>
      </w:r>
    </w:p>
    <w:p w:rsidR="00204B65" w:rsidRDefault="00F06C39">
      <w:pPr>
        <w:pStyle w:val="enf3"/>
      </w:pPr>
      <w:r>
        <w:t>Article 28  The succession pursuant to the provisions of Article 17, paragraph (2) of the Act (including as applied mutatis mutandis pursuant to paragraph (8) of that Article; the same applies below) is to be made by a document on the succession of provisionally retained assets in Appended Form 19.</w:t>
      </w:r>
    </w:p>
    <w:p w:rsidR="00204B65" w:rsidRDefault="00204B65"/>
    <w:p w:rsidR="00204B65" w:rsidRDefault="00F06C39">
      <w:pPr>
        <w:pStyle w:val="ena"/>
      </w:pPr>
      <w:r>
        <w:t xml:space="preserve">(Method of Notice in Relation to Succession of Assets Subject to </w:t>
      </w:r>
      <w:r>
        <w:t>Regulations under Provisional Retention)</w:t>
      </w:r>
    </w:p>
    <w:p w:rsidR="00204B65" w:rsidRDefault="00F06C39">
      <w:pPr>
        <w:pStyle w:val="enf3"/>
      </w:pPr>
      <w:r>
        <w:t>Article 29  The notice pursuant to the provisions of Article 17, paragraph (2) of the Act is to be given by issuing a written notice of succession of provisionally retained assets in Appended Form 20.</w:t>
      </w:r>
    </w:p>
    <w:p w:rsidR="00204B65" w:rsidRDefault="00204B65"/>
    <w:p w:rsidR="00204B65" w:rsidRDefault="00F06C39">
      <w:pPr>
        <w:pStyle w:val="ena"/>
      </w:pPr>
      <w:r>
        <w:t>(Application for Return of Assets Subject to Regulations Relating to Provisional Retention)</w:t>
      </w:r>
    </w:p>
    <w:p w:rsidR="00204B65" w:rsidRDefault="00F06C39">
      <w:pPr>
        <w:pStyle w:val="enf3"/>
      </w:pPr>
      <w:r>
        <w:t>Article 30  (1) A person seeking to file an application pursuant to the provisions of Article 17, paragraph (3) of the Act (including as applied mutatis mutandis pursuant to paragraph (8) of that Article; the same applies below) must submit a written application for the return of provisionally retained assets in Appended Form 21.</w:t>
      </w:r>
    </w:p>
    <w:p w:rsidR="00204B65" w:rsidRDefault="00F06C39">
      <w:pPr>
        <w:pStyle w:val="enf4"/>
      </w:pPr>
      <w:r>
        <w:t>(2) The following documents must be attached to the written application for return of provisionally retained assets referred to in the preceding paragraph:</w:t>
      </w:r>
    </w:p>
    <w:p w:rsidR="00204B65" w:rsidRDefault="00F06C39">
      <w:pPr>
        <w:pStyle w:val="enf6"/>
      </w:pPr>
      <w:r>
        <w:t>(i) a document certifying that the assets subject to regulations related to the application under the provisions of Article 17, paragraph (3) of the Act fall under any of the items of Article 11, paragraph (1) of the Act;</w:t>
      </w:r>
    </w:p>
    <w:p w:rsidR="00204B65" w:rsidRDefault="00F06C39">
      <w:pPr>
        <w:pStyle w:val="enf6"/>
      </w:pPr>
      <w:r>
        <w:t>(ii) if the application is filed by an agent; a document certifying the authority of the agent.</w:t>
      </w:r>
    </w:p>
    <w:p w:rsidR="00204B65" w:rsidRDefault="00F06C39">
      <w:pPr>
        <w:pStyle w:val="enf4"/>
      </w:pPr>
      <w:r>
        <w:t>(3) The written application for the return of provisionally retained assets referred to in paragraph (1) must be submitted via the chief of the police station with jurisdiction over the place of domicile, etc. (if the place of domicile, etc. does not exist in Japan; the location of the assets subject to regulations for which the application is filed).</w:t>
      </w:r>
    </w:p>
    <w:p w:rsidR="00204B65" w:rsidRDefault="00204B65"/>
    <w:p w:rsidR="00204B65" w:rsidRDefault="00F06C39">
      <w:pPr>
        <w:pStyle w:val="ena"/>
      </w:pPr>
      <w:r>
        <w:t>(Method of Return of Assets Subject to Regulations Under Provisional Retention)</w:t>
      </w:r>
    </w:p>
    <w:p w:rsidR="00204B65" w:rsidRDefault="00F06C39">
      <w:pPr>
        <w:pStyle w:val="enf3"/>
      </w:pPr>
      <w:r>
        <w:t>Article 31  A return under the provisions of Article 17, paragraph (4), (5), or (7) of the Act (including as applied mutatis mutandis pursuant to paragraph (8) of that Article; the same applies below) is to be made in exchange for a receipt for the return of provisionally retained assets as referred to in Appended Form 22. In this case, the public safety commission making the return must issue a copy of this if the person to which the assets have been returned requests it to do so.</w:t>
      </w:r>
    </w:p>
    <w:p w:rsidR="00204B65" w:rsidRDefault="00204B65"/>
    <w:p w:rsidR="00204B65" w:rsidRDefault="00F06C39">
      <w:pPr>
        <w:pStyle w:val="ena"/>
      </w:pPr>
      <w:r>
        <w:t>(Written Document of Continuation of Provisional Retention)</w:t>
      </w:r>
    </w:p>
    <w:p w:rsidR="00204B65" w:rsidRDefault="00F06C39">
      <w:pPr>
        <w:pStyle w:val="enf3"/>
      </w:pPr>
      <w:r>
        <w:t>Article 32  The notice pursuant to the provisions of Article 17, paragraph (7) of the Act is to be given by issuing a written document of continuation of provisional retention in Appended Form 23.</w:t>
      </w:r>
    </w:p>
    <w:p w:rsidR="00204B65" w:rsidRDefault="00204B65"/>
    <w:p w:rsidR="00204B65" w:rsidRDefault="00F06C39">
      <w:pPr>
        <w:pStyle w:val="enf2"/>
      </w:pPr>
      <w:r>
        <w:t>Section 3 Submission of Materials and Other Forms of Cooperation</w:t>
      </w:r>
    </w:p>
    <w:p w:rsidR="00204B65" w:rsidRDefault="00204B65"/>
    <w:p w:rsidR="00204B65" w:rsidRDefault="00F06C39">
      <w:pPr>
        <w:pStyle w:val="ena"/>
      </w:pPr>
      <w:r>
        <w:t>(Written Request for Submission of Materials)</w:t>
      </w:r>
    </w:p>
    <w:p w:rsidR="00204B65" w:rsidRDefault="00F06C39">
      <w:pPr>
        <w:pStyle w:val="enf3"/>
      </w:pPr>
      <w:r>
        <w:t>Article 33  When requesting the submission of materials or other necessary cooperation pursuant to the provisions of Article 19 of the Act, in writing, the written request for submission of materials, etc. in Appended Form 24 is to be given.</w:t>
      </w:r>
    </w:p>
    <w:p w:rsidR="00204B65" w:rsidRDefault="00204B65"/>
    <w:p w:rsidR="00204B65" w:rsidRDefault="00F06C39">
      <w:pPr>
        <w:pStyle w:val="ena"/>
      </w:pPr>
      <w:r>
        <w:t>(Procedures for Handling Submitted Materials)</w:t>
      </w:r>
    </w:p>
    <w:p w:rsidR="00204B65" w:rsidRDefault="00F06C39">
      <w:pPr>
        <w:pStyle w:val="enf3"/>
      </w:pPr>
      <w:r>
        <w:t>Article 34  (1) When a public safety commission receives the submission of materials under Article 20, paragraph (1) of the Act, it must prepare an inventory of submitted materials as referred to in Appended Form 25. In this case, the public safety commission must deliver a copy of the inventory to the person submitting it.</w:t>
      </w:r>
    </w:p>
    <w:p w:rsidR="00204B65" w:rsidRDefault="00F06C39">
      <w:pPr>
        <w:pStyle w:val="enf4"/>
      </w:pPr>
      <w:r>
        <w:t>(2) The public safety commission must promptly return submitted materials to the person submitting them, if it is no longer needed.</w:t>
      </w:r>
    </w:p>
    <w:p w:rsidR="00204B65" w:rsidRDefault="00F06C39">
      <w:pPr>
        <w:pStyle w:val="enf4"/>
      </w:pPr>
      <w:r>
        <w:t>(3) The return pursuant to the provisions of the preceding paragraph must be made in exchange for a document receipt in Appended Form 26.</w:t>
      </w:r>
    </w:p>
    <w:p w:rsidR="00204B65" w:rsidRDefault="00204B65"/>
    <w:p w:rsidR="00204B65" w:rsidRDefault="00F06C39">
      <w:pPr>
        <w:pStyle w:val="ena"/>
      </w:pPr>
      <w:r>
        <w:t>(Form of Identification Card)</w:t>
      </w:r>
    </w:p>
    <w:p w:rsidR="00204B65" w:rsidRDefault="00F06C39">
      <w:pPr>
        <w:pStyle w:val="enf3"/>
      </w:pPr>
      <w:r>
        <w:t>Article 35  The form of the identification card prescribed in Article 20, paragraph (2) of the Act is to be as stated in Appended Form 27.</w:t>
      </w:r>
    </w:p>
    <w:p w:rsidR="00204B65" w:rsidRDefault="00204B65"/>
    <w:p w:rsidR="00204B65" w:rsidRDefault="00F06C39">
      <w:pPr>
        <w:pStyle w:val="en3"/>
      </w:pPr>
      <w:r>
        <w:t>Chapter III Miscellaneous Provisions</w:t>
      </w:r>
    </w:p>
    <w:p w:rsidR="00204B65" w:rsidRDefault="00204B65"/>
    <w:p w:rsidR="00204B65" w:rsidRDefault="00F06C39">
      <w:pPr>
        <w:pStyle w:val="ena"/>
      </w:pPr>
      <w:r>
        <w:t xml:space="preserve">(Method of Issuing an Order to Restrict an Act </w:t>
      </w:r>
      <w:r>
        <w:t>Against a Person Subject to Freezing of Assets)</w:t>
      </w:r>
    </w:p>
    <w:p w:rsidR="00204B65" w:rsidRDefault="00F06C39">
      <w:pPr>
        <w:pStyle w:val="enf3"/>
      </w:pPr>
      <w:r>
        <w:t>Article 36  An order under the provisions of Article 22 of the Act is to be issued through the issuance of a written order to restrict acts as stated in Appended Form 28.</w:t>
      </w:r>
    </w:p>
    <w:p w:rsidR="00204B65" w:rsidRDefault="00204B65"/>
    <w:p w:rsidR="00204B65" w:rsidRDefault="00F06C39">
      <w:pPr>
        <w:pStyle w:val="ena"/>
      </w:pPr>
      <w:r>
        <w:t>(Matters to Be Reported to the National Public Safety Commission)</w:t>
      </w:r>
    </w:p>
    <w:p w:rsidR="00204B65" w:rsidRDefault="00F06C39">
      <w:pPr>
        <w:pStyle w:val="enf3"/>
      </w:pPr>
      <w:r>
        <w:t>Article 37  The grounds specified by the Rules of the National Public Safety Commission referred to in Article 23 of the Act are the following grounds:</w:t>
      </w:r>
    </w:p>
    <w:p w:rsidR="00204B65" w:rsidRDefault="00F06C39">
      <w:pPr>
        <w:pStyle w:val="enf6"/>
      </w:pPr>
      <w:r>
        <w:t>(i) finding that there has been a change in the name of a person subject to freezing of assets, etc.;</w:t>
      </w:r>
    </w:p>
    <w:p w:rsidR="00204B65" w:rsidRDefault="00F06C39">
      <w:pPr>
        <w:pStyle w:val="enf6"/>
      </w:pPr>
      <w:r>
        <w:t>(ii) if finding that there has been a change in the address or location of a person subject to freezing of assets, etc.;</w:t>
      </w:r>
    </w:p>
    <w:p w:rsidR="00204B65" w:rsidRDefault="00F06C39">
      <w:pPr>
        <w:pStyle w:val="enf6"/>
      </w:pPr>
      <w:r>
        <w:t>(iii) ascertaining the place of residence of a person subject to freezing of assets, etc.;</w:t>
      </w:r>
    </w:p>
    <w:p w:rsidR="00204B65" w:rsidRDefault="00F06C39">
      <w:pPr>
        <w:pStyle w:val="enf6"/>
      </w:pPr>
      <w:r>
        <w:t>(iv) finding that a person subject to freezing of assets, etc. has acquired assets subject to regulations (meaning the assets subject to regulations prescribed in Article 9, item (i) of the Act; the same applies in item (iv) of the table of the following Article) (excluding the case of an acquisition pursuant to the provisions of the Act; the same applies in item (iv) of the table of the following Article);</w:t>
      </w:r>
    </w:p>
    <w:p w:rsidR="00204B65" w:rsidRDefault="00F06C39">
      <w:pPr>
        <w:pStyle w:val="enf6"/>
      </w:pPr>
      <w:r>
        <w:t xml:space="preserve">(v) finding that a specified claim (meaning a specified claim as prescribed in Article 9, item (v) of the Act; the </w:t>
      </w:r>
      <w:r>
        <w:t>same applies in this Article and the table of the following Article below) has arisen;</w:t>
      </w:r>
    </w:p>
    <w:p w:rsidR="00204B65" w:rsidRDefault="00F06C39">
      <w:pPr>
        <w:pStyle w:val="enf6"/>
      </w:pPr>
      <w:r>
        <w:t>(vi) finding that an act in violation of the provisions of Article 9 of the Act has taken place;</w:t>
      </w:r>
    </w:p>
    <w:p w:rsidR="00204B65" w:rsidRDefault="00F06C39">
      <w:pPr>
        <w:pStyle w:val="enf6"/>
      </w:pPr>
      <w:r>
        <w:t>(vii) finding that a person who obtained the permission in Article 9 of the Act have obtained the permission by deception or other wrongful means;</w:t>
      </w:r>
    </w:p>
    <w:p w:rsidR="00204B65" w:rsidRDefault="00F06C39">
      <w:pPr>
        <w:pStyle w:val="enf6"/>
      </w:pPr>
      <w:r>
        <w:t>(viii) receiving an application for permission;</w:t>
      </w:r>
    </w:p>
    <w:p w:rsidR="00204B65" w:rsidRDefault="00F06C39">
      <w:pPr>
        <w:pStyle w:val="enf6"/>
      </w:pPr>
      <w:r>
        <w:t>(ix) finding that an act in violation of the conditions attached pursuant to the provisions of Article 12, paragraph (1) of the Act has been committed;</w:t>
      </w:r>
    </w:p>
    <w:p w:rsidR="00204B65" w:rsidRDefault="00F06C39">
      <w:pPr>
        <w:pStyle w:val="enf6"/>
      </w:pPr>
      <w:r>
        <w:t>(x) receiving an application for reissuance of a license certificate under the provisions of Article 13, paragraph (2) of the Act;</w:t>
      </w:r>
    </w:p>
    <w:p w:rsidR="00204B65" w:rsidRDefault="00F06C39">
      <w:pPr>
        <w:pStyle w:val="enf6"/>
      </w:pPr>
      <w:r>
        <w:t>(xi) finding that the person who has had the license certificate reissued pursuant to the provisions of Article 13, paragraph (2) of the Act has discovered, or recovered the lost permit;</w:t>
      </w:r>
    </w:p>
    <w:p w:rsidR="00204B65" w:rsidRDefault="00F06C39">
      <w:pPr>
        <w:pStyle w:val="enf6"/>
      </w:pPr>
      <w:r>
        <w:t>(xii) receiving the returned license certificate pursuant to the provisions of Article 13, paragraph (3) of the Act;</w:t>
      </w:r>
    </w:p>
    <w:p w:rsidR="00204B65" w:rsidRDefault="00F06C39">
      <w:pPr>
        <w:pStyle w:val="enf6"/>
      </w:pPr>
      <w:r>
        <w:t>(xiii) finding that an act in violation of the provisions of Article 13, paragraph (3) of the Act has been committed;</w:t>
      </w:r>
    </w:p>
    <w:p w:rsidR="00204B65" w:rsidRDefault="00F06C39">
      <w:pPr>
        <w:pStyle w:val="enf6"/>
      </w:pPr>
      <w:r>
        <w:t>(xiv) finding that an act in violation of the provisions of Article 15 of the Act has been committed;</w:t>
      </w:r>
    </w:p>
    <w:p w:rsidR="00204B65" w:rsidRDefault="00F06C39">
      <w:pPr>
        <w:pStyle w:val="enf6"/>
      </w:pPr>
      <w:r>
        <w:t>(xv) finding that an order of seizure or disposition to seize, through compulsory execution, has been issued for the specified claim;</w:t>
      </w:r>
    </w:p>
    <w:p w:rsidR="00204B65" w:rsidRDefault="00F06C39">
      <w:pPr>
        <w:pStyle w:val="enf6"/>
      </w:pPr>
      <w:r>
        <w:t>(xvi) finding that the seizure of a specified claim is found to have been conducted for the purpose of evading the restriction on acts against a person subject to freezing of assets, etc. under the provisions of Article 9 of the Act (limited to the part relating to items (iii) and (iv) of that Article; the same applies in item (xx) of the table of the following Article);</w:t>
      </w:r>
    </w:p>
    <w:p w:rsidR="00204B65" w:rsidRDefault="00F06C39">
      <w:pPr>
        <w:pStyle w:val="enf6"/>
      </w:pPr>
      <w:r>
        <w:t>(xvii) finding that the person had committed an act in violation of an order prohibiting the performance of obligations;</w:t>
      </w:r>
    </w:p>
    <w:p w:rsidR="00204B65" w:rsidRDefault="00F06C39">
      <w:pPr>
        <w:pStyle w:val="enf6"/>
      </w:pPr>
      <w:r>
        <w:t>(xviii) finding that the case has come to fall under the cases prescribed in Article 17, paragraph (1) of the Act;</w:t>
      </w:r>
    </w:p>
    <w:p w:rsidR="00204B65" w:rsidRDefault="00F06C39">
      <w:pPr>
        <w:pStyle w:val="enf6"/>
      </w:pPr>
      <w:r>
        <w:t>(xix) issuing an order pursuant to the provisions of Article 17, paragraph (1) of the Act;</w:t>
      </w:r>
    </w:p>
    <w:p w:rsidR="00204B65" w:rsidRDefault="00F06C39">
      <w:pPr>
        <w:pStyle w:val="enf6"/>
      </w:pPr>
      <w:r>
        <w:t>(xx) finding that an act in violation of an order under the provisions of Article 17, paragraph (1) of the Act has been committed;</w:t>
      </w:r>
    </w:p>
    <w:p w:rsidR="00204B65" w:rsidRDefault="00F06C39">
      <w:pPr>
        <w:pStyle w:val="enf6"/>
      </w:pPr>
      <w:r>
        <w:t>(xxi) receiving an application pursuant to the provisions of Article 17, paragraph (3) of the Act;</w:t>
      </w:r>
    </w:p>
    <w:p w:rsidR="00204B65" w:rsidRDefault="00F06C39">
      <w:pPr>
        <w:pStyle w:val="enf6"/>
      </w:pPr>
      <w:r>
        <w:t xml:space="preserve">(xxii) finding that the person who received the </w:t>
      </w:r>
      <w:r>
        <w:t>return under the provisions of Article 17, paragraph (4) of the Act had received the return by deception or other wrongful means;</w:t>
      </w:r>
    </w:p>
    <w:p w:rsidR="00204B65" w:rsidRDefault="00F06C39">
      <w:pPr>
        <w:pStyle w:val="enf6"/>
      </w:pPr>
      <w:r>
        <w:t>(xxiii) requesting the submission of materials or any other necessary cooperation pursuant to the provisions of Article 19 of the Act;</w:t>
      </w:r>
    </w:p>
    <w:p w:rsidR="00204B65" w:rsidRDefault="00F06C39">
      <w:pPr>
        <w:pStyle w:val="enf6"/>
      </w:pPr>
      <w:r>
        <w:t>(xxiv) requesting a person subject to freezing of assets, etc. to report or submit materials under the provisions of Article 20, paragraph (1) of the Act;</w:t>
      </w:r>
    </w:p>
    <w:p w:rsidR="00204B65" w:rsidRDefault="00F06C39">
      <w:pPr>
        <w:pStyle w:val="enf6"/>
      </w:pPr>
      <w:r>
        <w:t>(xxv) having had a police official enter real assets owned or possessed by a person subject to freezing of assets, etc., inspect books and documents and other necessary objects, or question relevant persons under the provisions of Article 20, paragraph (1) of the Act;</w:t>
      </w:r>
    </w:p>
    <w:p w:rsidR="00204B65" w:rsidRDefault="00F06C39">
      <w:pPr>
        <w:pStyle w:val="enf6"/>
      </w:pPr>
      <w:r>
        <w:t>(xxvi) finding that, in violation of the provisions of Article 20, paragraph (1) of the Act, failed to make a report, or submit materials, or made a false report or submitted false materials with regard to the report or submission of materials stated in the same paragraph; refused, obstructed or evaded an on-site inspection under the provisions of that paragraph, or failed to make a statement or made a false statement in response to questions under the same paragraph;</w:t>
      </w:r>
    </w:p>
    <w:p w:rsidR="00204B65" w:rsidRDefault="00F06C39">
      <w:pPr>
        <w:pStyle w:val="enf6"/>
      </w:pPr>
      <w:r>
        <w:t>(xxvii) finding that it falls under the case prescribed in Article 22, paragraph (1) of the Act;</w:t>
      </w:r>
    </w:p>
    <w:p w:rsidR="00204B65" w:rsidRDefault="00F06C39">
      <w:pPr>
        <w:pStyle w:val="enf6"/>
      </w:pPr>
      <w:r>
        <w:t>(xxviii) finding that it falls under the case prescribed in Article 22, paragraph (2) of the Act;</w:t>
      </w:r>
    </w:p>
    <w:p w:rsidR="00204B65" w:rsidRDefault="00F06C39">
      <w:pPr>
        <w:pStyle w:val="enf6"/>
      </w:pPr>
      <w:r>
        <w:t>(xxix) finding that an act in violation of an order under the provisions of Article 22 of the Act has occurred.</w:t>
      </w:r>
    </w:p>
    <w:p w:rsidR="00204B65" w:rsidRDefault="00204B65"/>
    <w:p w:rsidR="00204B65" w:rsidRDefault="00F06C39">
      <w:pPr>
        <w:pStyle w:val="enf3"/>
      </w:pPr>
      <w:r>
        <w:t>Article 38  The matters specified by the Rules of the National Public Safety Commission as referred to in Article 23 of the Act are the matters specified in the right-hand column of the following table for the category of cases stated in the left-hand column of that table.</w:t>
      </w:r>
    </w:p>
    <w:p w:rsidR="00204B65" w:rsidRDefault="00204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204B65">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When to Report</w:t>
            </w:r>
          </w:p>
        </w:tc>
        <w:tc>
          <w:tcPr>
            <w:tcW w:w="4350" w:type="dxa"/>
            <w:tcBorders>
              <w:top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t>Matters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(i) if it is found that there has been a change in the name of a person subject to freezing of assets, etc.;</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of the person subject to freezing of assets , etc. before the change and after the change, and the public notice number of the person on the list, or designation number or provisional designation number (referred to as the "designation number , etc." in this table below);</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time when the change occurred;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reasons for finding that there was a change;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(ii) if it is found that there has </w:t>
            </w:r>
            <w:r>
              <w:t>been a change in the address or location of a person subject to freezing of assets , etc.;</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the address or location before the change and after the </w:t>
            </w:r>
            <w:r>
              <w:t>change;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time when the change occurred;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finding that there was a change;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(iii) if the place of residence of a person subject to freezing of assets , etc. is ascertained;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designation number, etc. of </w:t>
            </w:r>
            <w:r>
              <w:t>the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known place of residence;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background of the ascertainment;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(iv) if it is found that a person subject to freezing of assets , etc. has acquired assets subject to </w:t>
            </w:r>
            <w:r>
              <w:t>regulations;</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subject to freezing of assets,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characteristics and location of the assets subject to regulations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date on which the person subject to </w:t>
            </w:r>
            <w:r>
              <w:t>freezing of assets , etc. acquired the assets subject to regulations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finding that the person subject to freezing of assets, etc. has acquired the assets subject to regulations ;</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(v) if it is found that a specified claim has </w:t>
            </w:r>
            <w:r>
              <w:t>arisen;</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 etc. of the creditor of the specified claim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address of the obligor of the specified claim (in cases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specified claim;</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on which the specified claim arose;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finding that specified claim has arisen;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(vi) when permission was granted pursuant to the </w:t>
            </w:r>
            <w:r>
              <w:t>provisions of Article 9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obtained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date on which the permission was granted;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number relating to the permission ( referred to as the </w:t>
            </w:r>
            <w:r>
              <w:t>"permission number" in this table below);</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granting the permission;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(vii) when it is found that an act in violation of the provisions of Article 9 of the Act has been </w:t>
            </w:r>
            <w:r>
              <w:t>committed;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(viii) if it is found that a person who obtained the permission under Article 9 of the Act obtained the permission by deception or other wrongful means;</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obtained the permission by deception or other wrongful means (in the case of a corporation or other organization, its name, designation number, etc., and the name, address, and date of birth of the person who obtained the permission as an officer or employee, or a member);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details of the deception or other wrongful means;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(ix) when an </w:t>
            </w:r>
            <w:r>
              <w:t>appplication for permission has been received ;</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filed the application for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date of receipt of the application for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(iii) the matters stated in the items of </w:t>
            </w:r>
            <w:r>
              <w:t>Article 10, paragraph (1) of the Act;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 when conditions are attached or changed pursuant to the provisions of Article 12,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to whom the conditions are attached on the license or those conditions are changed;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(iv) the conditions for the permission (if the conditions have been changed, the conditions before the change and those </w:t>
            </w:r>
            <w:r>
              <w:t>after the change);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conditions were attached to the permission or those conditions were changed;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 the reasons for attaching conditions to the permission or changing the conditions;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(xi) when it is found that an act </w:t>
            </w:r>
            <w:r>
              <w:t>has been conducted in violation of the conditions attached pursuant to the provisions of Article 12,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conditions for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(xii) when receiving an application for reissuance of a license certificate pursuant to the provisions of Article 13, paragraph (2)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w:t>
            </w:r>
            <w:r>
              <w:t>designation number, etc. of the person who applied for reissuance of the license certificate;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(iv) the date on which the application for reissuance of the </w:t>
            </w:r>
            <w:r>
              <w:t>license certificate was received;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time, place, and circumstances in which the license certificate was lost or destroyed;</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(xiii) when a license certificate is reissued pursuant to the provisions of Article 13, paragraph (2)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w:t>
            </w:r>
            <w:r>
              <w:t>the name and designation number, etc. of the person to whom the license certificate has been reissued;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(iv) the date of re-issuance of the license </w:t>
            </w:r>
            <w:r>
              <w:t>certificate;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reissuing the license certificate;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(xiv) if a person who has had a license certificate reissued pursuant to the provisions of Article 13, paragraph (2) of the Act finds that the lost license certificate has been discovered, or recovered;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of issuance of the lost license certificate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(v) the date of </w:t>
            </w:r>
            <w:r>
              <w:t>issuance of the reissued license certificate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(vi) the time and place when the lost license certificate was discovered, or recovered;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 the reasons for finding that the lost license certificate was discovereed, or recovered ;</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(xv) when </w:t>
            </w:r>
            <w:r>
              <w:t>receiving the return of the license certificate pursuant to the provisions of Article 13, paragraph (3)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has returned the license certificate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on which the license certificate was returned;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the return of the license certificate ;</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(xvi) when it is found that an act in violation of the provisions of Article 13, paragraph (3) of the Act has been committed;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committed the violation (in the case of a corporation or other organization, its name, designation number, etc., and the name, address, and date of birth of the person who committed the violation as an officer or employee, or a member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(xvii) when the </w:t>
            </w:r>
            <w:r>
              <w:t>permission is revoked pursuant to the provisions of Article 14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whose permission has been revoked;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permission number;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details of the acts relating to the permission;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of the revocation of the permission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revoking the permission ;</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(xviii) when it is found that an act in violation of the provisions of Article 15 of the Act has been committed;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the </w:t>
            </w:r>
            <w:r>
              <w:t>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designated number, etc. of the other party to the violation;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(xix) when it is found that an order of seizure or the disposition of </w:t>
            </w:r>
            <w:r>
              <w:t>seizure through compulsory execution has been issued for the specified claim;</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 etc. of the creditor of the specified claim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the name and address of the obligor of the specifed claim (in cases of a </w:t>
            </w:r>
            <w:r>
              <w:t>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name and address of the attaching creditor (meaning the attaching creditor prescribed in Article 16, paragraph (1) of the Act; the same applies below in this table)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specified claim;</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order of seizure or the disposition of seizure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(vi) the name and location of the execution court that has issued the order of seizure or the summary court to which the court clerk who has made a disposition of seizure belongs;</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 the reasons for the issuance of the order of seizure or the disposition of seizure;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 if it is found that the seizure of a specified claim has been conducted for the purpose of evading the restriction on acts against a person subject to </w:t>
            </w:r>
            <w:r>
              <w:t>freezing of assets, etc. under the provisions of Article 9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designaton number , etc. of the creditor of the specified claim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address of the obligor of the specified claim (in cases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name and address of the attaching creditor (in the case of a corporation or any other organization, its name, the name of its </w:t>
            </w:r>
            <w:r>
              <w:t>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specified claim;</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seizure was effected;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(vi) the name and location of the execution court that has issued the order of seizure or the summary court to which the court clerk who has made a disposition of seizure belongs;</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 the grounds for finding that the seizure was carried out for the purpose of allowing a person subject to freezing of assets , etc. to evade restrictions on acts under the provisions of Article 9 of the Act;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(xxi) when an order pursuant to the provisions of Article 16, paragraph (1) of the Act is issued;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the person subject to the order (in the case of a corporation or any other </w:t>
            </w:r>
            <w:r>
              <w:t>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address of the attaching creditor related to the order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name and designation number, etc. of the creditor of the specified claim subject to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specified claim subject to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(vi) the valid period of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 the reasons for the order;</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(xxii) when it is found that an act in violation of an order prohibiting the performance of obligations has been committed;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w:t>
            </w:r>
            <w:r>
              <w:t>the 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address of the attaching creditor related to the order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name and designation number , etc. of the creditor of the specified claim subject to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specified claim subject to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(vi) </w:t>
            </w:r>
            <w:r>
              <w:t>the valid period of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(xxiii) when an order pursuant to the provisions of Article 16, paragraph (3) of the Act is revoked;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the person whose order has been revoked (in the case </w:t>
            </w:r>
            <w:r>
              <w:t>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and address of the attaching creditor related to the order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name and designation number , etc. of the creditor of the specified claim relating to the order (in the cases stated in Article 16, paragraph (3), item (i) of the Act, the designation number , etc. when the creditor was a person subject to freezing of assets etc. most recently);</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details of the specified claim subject to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(vi) the </w:t>
            </w:r>
            <w:r>
              <w:t>valid period of the order;</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(vii) the date on which the order was revoked;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(viii) the reasons for revoking the order;</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(xxiv) if it is found that the case falls under any of the cases prescribed in Article 17,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a person possessing assets subject to regulations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in cases when there is a person who manages the assets subject to regulations on behalf of the person subject to freezing of assets, etc., their name and </w:t>
            </w:r>
            <w:r>
              <w:t>address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type, value, characteristics, and location of the part of the assets subject to regulations that does not fall under any of the items of Article 11, paragraph (1) of the Act;</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grounds for finding that the assets subject to regulations in the possession of the person subject to freezing of assets, etc. does not fall under any of the items of Article 11, paragraph (1) of the Act;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(xxv) when an order pursuant to the provisions of Article 17, paragraph (1) of the Act is issued;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designation number, etc. of the person that has received the order (if that person is a </w:t>
            </w:r>
            <w:r>
              <w:t>person that manages assets subject to regulations on behalf of a person subject to freezing of assets , etc., their name and address t(in the case of a corporation or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characteristics, and location of the assets subject to regulations to which the order relates</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the order;</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(xxvi) when the </w:t>
            </w:r>
            <w:r>
              <w:t>provisional retention pursuant to the provisions of Article 17, paragraph (1) of the Act is carried out;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possessed the assets subject to regulations relating 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characteristics, and location before the provisional retention of the assets subject to regulations related to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provisional retention was carried out;</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(iv) the reason for the </w:t>
            </w:r>
            <w:r>
              <w:t>provisional retention;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(xxvii) when finding that an act violating the order issued under the provisions of Article 17, paragraph (1) of the Act has been comitted ;</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if the person who has committed the violation is a person subject to freezing of assets , etc., the name and designated number, etc. (in the case of a corporation or other organization, its name, designated number, etc., and the name, address, and date of birth of the person who has committed the violation as an officer or employee, or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if the person who has committed the violation is a person who manages the assets subject to regulationson behalf of the person subject to freezing of assets, etc., their name and address (in the case of a corporation or other </w:t>
            </w:r>
            <w:r>
              <w:t>organization, its name, the name of its representative, the location of its principal office, and the name, address, and date of birth of the person who has committed the violation as an officer or employee or a member of it;</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type, value, characteristics, and location of the assets subject to regulations to which the order relates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(xxviii) when the provisional retention pursuant to the provisions of the </w:t>
            </w:r>
            <w:r>
              <w:t>second sentence of Article 17, paragraph (2) of the Act is carried out;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possessed the assets subject to regulations relating to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and characteristics of the assets subject to regulations relating to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provisional retention was carried out;</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name of the public safety commission that conducted the succession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(v) the reasons for </w:t>
            </w:r>
            <w:r>
              <w:t>the provisional retention;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(xxix) when an application under Article 17, paragraph (3) of the Act has been received;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filing the application;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the date on which the application was </w:t>
            </w:r>
            <w:r>
              <w:t>received;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type, value and characteristics of the assets subject to regulations for which the application is filed;</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(xxx) when the return was made pursuant to the provisions of Article 17, paragraph (4)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received the return;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and characteristics of the assets subject to regulations to be returned;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return was made;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 for the return;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(xxxi) if it is </w:t>
            </w:r>
            <w:r>
              <w:t>found that the person who received the return pursuant to the provisions of Article 17, paragraph (4) of the Act received the return by deception or other wrongful means;</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designated number, etc. of the person who received the return by deception or other wrongful means (in the case of a corporation or other organization, its name, designated number, etc., and the name, address, and date of birth of the person who received the return as an officer or employee, or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and characteristics of the assets subject to regulations to be returned;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return was made;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details of the deception or other wrongful means;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(xxxii) when the return pursuant to the </w:t>
            </w:r>
            <w:r>
              <w:t>provisions of Article 17, paragraph (5) of the Act is made;</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of the person who received the return and the designation number , etc. for the most recent time that person was a person subject to freezing of assets , etc. (if the person who received the return is a person having the right to receive the return of assets subject to regulations other than a person who is no longer a person subject to freezing of assets , etc., that person's name and address (in the case of a corporation or other organization, its name, the name of its representative, and the</w:t>
            </w:r>
            <w:r>
              <w:t xml:space="preserve"> location of its principal office) and its relationship with the person who is no longer a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type, value and characteristics of the assets subject to regulations to be returned;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date on which the return was made;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(xxxiii) when the provisional retention pursuant to the provisions of Article 17, paragraph (7) of the Act is carried out;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designation number , etc. </w:t>
            </w:r>
            <w:r>
              <w:t>of the person that has the right to receive the return of the assets subject to regulations relating to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name of the person who possessed the assets subject to regulations relating to the provisional retention and who is no longer a person subject to freezing of assets , etc., and the designation number etc. when thatperson was most recently a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type, value and characteristics of the assets subject to </w:t>
            </w:r>
            <w:r>
              <w:t>regulations relating to the provisional retention;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on which the provisional retention was carried out;</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the provisional retention;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(xxxiv) when the return was made pursuant to the provisions of Article 17, paragraph (7)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who received the return;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the name of the person who possessed the assets subject to regulation relating to the return and is no longer a person subject to freezing of </w:t>
            </w:r>
            <w:r>
              <w:t>assets , etc., and the designation number , etc. when such person was most recently a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type, value and characteristics of the assets subject to regulation to be returned;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date on which the return was made;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reasons for the return;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(xxxv) when the request for submission of materials or any other necessary cooperation pursuant to the provisions of Article 19 of the Act is made;</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the person who was </w:t>
            </w:r>
            <w:r>
              <w:t>requested the submission of materials or any other necessary cooperation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date on which the submission of materials or any other necessary cooperation was requested;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details of the request for submission of materials or any other necessary cooperation;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(xxxvi) when the request has been made to a person subject to freezing of assets , etc. to </w:t>
            </w:r>
            <w:r>
              <w:t>report or submit materials pursuant to the provisions of Article 20,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subject to freezing of assets ,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date on which the request for reports or submission of materials was made;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details of the request for reports or submission of materials;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(xxxvii) when police official is made to enter real assets owned or possessed by a person subject to freezing of assets , etc., inspect books and </w:t>
            </w:r>
            <w:r>
              <w:t>documents and other necessary objects, or question the relevant persons pursuant to the provisions of Article 20,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designation number, etc. of the person subject to freezing of assets, etc.;</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date of the on-site inspection;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place where the on-site inspection was conducted;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(iv) the name and address of the person who was questioned;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(v) the content of the results of the on-site inspection or questions;</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(xxxviii) when it is found </w:t>
            </w:r>
            <w:r>
              <w:t>that a person has failed to make a report or submit materials in violation of the provisions of Article 20, paragraph (1) of the Act; has made a false report or submitted false materials with regard to the report or submission of materials referred to in that paragraph; has refused, obstructed, or evaded an on-site inspection under the provisions of that paragraph; has failed to make a statement or made a false statement in response to questions under the provisions of that paragraph;</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if the person who has committed the violation is a person subject to freezing of assets , etc., the name and designated number, etc. (in the case of a corporation or other organization, its name, designated number, etc., and the name, address, and date of birth of the person who has committed the violation as an officer or employee, or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 if the person who has committed the violation is a person other than a person subject to freezing of assets , etc., theirname and address (in the case of a </w:t>
            </w:r>
            <w:r>
              <w:t>corporation or other organization, its name, the name of its representative, the location of its principal office, and the name, address, and date of birth of the person who has committed the violation as an officer or employee, or as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(iii) the outline of the violation;</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(xxxix) when providing information or guidance or advice pursuant to the provisions of Article 21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address of the person who was provided with information or received guidance or advice (in the case of a corporation or any other organization, its name, the 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content of the provision of information, or guidance or advice;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date on which the </w:t>
            </w:r>
            <w:r>
              <w:t>information was provided or the guidance or advice was given;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the provision of information, guidance, or advice;</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(xl) if it is found that the case falls under any of the cases prescribed in Article 22, paragraph (1)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address of the person who has committed the violation prescribed in Article 22, paragraph (1) of the Act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content of the provision of information, or guidance or advice;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information was provided or the guidance or advice was given;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finding the case falls under the case prescribed in Article 22, paragraph (1) of the Act;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(xli) if it is found that the case falls under the case prescribed in Article 22, </w:t>
            </w:r>
            <w:r>
              <w:t>paragraph (2)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address of the person who has committed the violation prescribed in Article 22, paragraph (2) of the Act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(ii) the reasons for finding that the case falls under the case prescribed in </w:t>
            </w:r>
            <w:r>
              <w:t>Article 22, paragraph (2) of the Act;</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(xlii) when an order pursuant to the provisions of Article 22 of the Act is issued;</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 the name and address of the person subject to the order (in the case of a corporation or any other organization, its name, the </w:t>
            </w:r>
            <w:r>
              <w:t>name of its representative, and the location of its principal office);</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provisions on which the order is based 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(iii) the date on 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reasons for the order;</w:t>
            </w:r>
          </w:p>
        </w:tc>
      </w:tr>
      <w:tr w:rsidR="00204B65">
        <w:tblPrEx>
          <w:tblCellMar>
            <w:top w:w="0" w:type="dxa"/>
            <w:left w:w="0" w:type="dxa"/>
            <w:bottom w:w="0" w:type="dxa"/>
            <w:right w:w="0" w:type="dxa"/>
          </w:tblCellMar>
        </w:tblPrEx>
        <w:trPr>
          <w:cantSplit/>
        </w:trPr>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204B65" w:rsidRDefault="00F06C39">
            <w:pPr>
              <w:pStyle w:val="jaen"/>
            </w:pPr>
            <w:r>
              <w:t xml:space="preserve">(xliii) when it is found that an act has </w:t>
            </w:r>
            <w:r>
              <w:t>been committed that violates the order under the provisions of Article 22 of the Act;</w:t>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 the name and address of the person who has committed the violation (in the case of a corporation or any other organization, its name, the name of its representative, the location of its principal office, and the name, address, and date of birth of the person who has committed the violation as an officer or employee, or as a member of it );</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(ii) the provisions relating to the violation.</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right w:val="single" w:sz="4" w:space="0" w:color="auto"/>
            </w:tcBorders>
            <w:tcMar>
              <w:top w:w="0" w:type="dxa"/>
              <w:left w:w="108" w:type="dxa"/>
              <w:bottom w:w="0" w:type="dxa"/>
              <w:right w:w="108" w:type="dxa"/>
            </w:tcMar>
          </w:tcPr>
          <w:p w:rsidR="00204B65" w:rsidRDefault="00F06C39">
            <w:pPr>
              <w:pStyle w:val="jaen"/>
            </w:pPr>
            <w:r>
              <w:t xml:space="preserve">(iii) the date on </w:t>
            </w:r>
            <w:r>
              <w:t>which the order was issued;</w:t>
            </w:r>
          </w:p>
        </w:tc>
      </w:tr>
      <w:tr w:rsidR="00204B65">
        <w:tblPrEx>
          <w:tblCellMar>
            <w:top w:w="0" w:type="dxa"/>
            <w:left w:w="0" w:type="dxa"/>
            <w:bottom w:w="0" w:type="dxa"/>
            <w:right w:w="0" w:type="dxa"/>
          </w:tblCellMar>
        </w:tblPrEx>
        <w:trPr>
          <w:cantSplit/>
        </w:trPr>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204B65" w:rsidRDefault="00F06C39">
            <w:pPr>
              <w:pStyle w:val="jaen"/>
            </w:pPr>
            <w:r>
              <w:br w:type="textWrapping" w:clear="all"/>
            </w:r>
          </w:p>
        </w:tc>
        <w:tc>
          <w:tcPr>
            <w:tcW w:w="4350" w:type="dxa"/>
            <w:tcBorders>
              <w:bottom w:val="single" w:sz="4" w:space="0" w:color="auto"/>
              <w:right w:val="single" w:sz="4" w:space="0" w:color="auto"/>
            </w:tcBorders>
            <w:tcMar>
              <w:top w:w="0" w:type="dxa"/>
              <w:left w:w="108" w:type="dxa"/>
              <w:bottom w:w="0" w:type="dxa"/>
              <w:right w:w="108" w:type="dxa"/>
            </w:tcMar>
          </w:tcPr>
          <w:p w:rsidR="00204B65" w:rsidRDefault="00F06C39">
            <w:pPr>
              <w:pStyle w:val="jaen"/>
            </w:pPr>
            <w:r>
              <w:t>(iv) the outline of the violation;</w:t>
            </w:r>
          </w:p>
        </w:tc>
      </w:tr>
    </w:tbl>
    <w:p w:rsidR="00204B65" w:rsidRDefault="00204B65"/>
    <w:p w:rsidR="00204B65" w:rsidRDefault="00F06C39">
      <w:pPr>
        <w:pStyle w:val="ena"/>
      </w:pPr>
      <w:r>
        <w:t>(Application for Compensation for Loss)</w:t>
      </w:r>
    </w:p>
    <w:p w:rsidR="00204B65" w:rsidRDefault="00F06C39">
      <w:pPr>
        <w:pStyle w:val="enf3"/>
      </w:pPr>
      <w:r>
        <w:t>Article 39  A person seeking compensation for a loss pursuant to the provisions of Article 24 of the Act must submit a written application for compensation for loss in Appended Form 29, to the National Public Safety Commission.</w:t>
      </w:r>
    </w:p>
    <w:p w:rsidR="00204B65" w:rsidRDefault="00204B65"/>
    <w:p w:rsidR="00204B65" w:rsidRDefault="00F06C39">
      <w:pPr>
        <w:pStyle w:val="ena"/>
      </w:pPr>
      <w:r>
        <w:t>(Provision of Information to Private Business Operators)</w:t>
      </w:r>
    </w:p>
    <w:p w:rsidR="00204B65" w:rsidRDefault="00F06C39">
      <w:pPr>
        <w:pStyle w:val="enf3"/>
      </w:pPr>
      <w:r>
        <w:t>Article 40  The National Public Safety Commission is to provide private businesses and other persons with necessary information and other assistance in order to deepen citizens understanding of the importance of preventing and suppressing acts of international terrorism as well as North Korea's development, etc. of weapons of mass destruction, etc. (meaning the development, etc. of weapons of mass destruction, etc. by North Korea as prescribed in Article 8, item (i) of the Order for Enforcement of the Act o</w:t>
      </w:r>
      <w:r>
        <w:t>n Special Measures Concerning Freezing of Assets Implemented by Japan in Light of the United Nations Security Council Resolution 1267 (Cabinet Order No. 356 of 2015)) and Iran's development, etc. of nuclear weapons, etc. (meaning the development, etc. of nuclear weapons, etc. by Iran as prescribed in item (ii) of that Article), and thereby ensure that the measures under the provisions of Chapters II and III of the Act are implemented appropriately and smoothly.</w:t>
      </w:r>
    </w:p>
    <w:p w:rsidR="00204B65" w:rsidRDefault="00204B65"/>
    <w:p w:rsidR="00204B65" w:rsidRDefault="00F06C39">
      <w:pPr>
        <w:pStyle w:val="en2"/>
      </w:pPr>
      <w:r>
        <w:t>Supplementary Provisions</w:t>
      </w:r>
    </w:p>
    <w:p w:rsidR="00204B65" w:rsidRDefault="00204B65"/>
    <w:p w:rsidR="00204B65" w:rsidRDefault="00F06C39">
      <w:pPr>
        <w:pStyle w:val="enf5"/>
      </w:pPr>
      <w:r>
        <w:t>These rules come into effect on the date in which the Act comes into effect (October 5, 2015).</w:t>
      </w:r>
    </w:p>
    <w:p w:rsidR="00204B65" w:rsidRDefault="00204B65"/>
    <w:p w:rsidR="00204B65" w:rsidRDefault="00F06C39">
      <w:pPr>
        <w:pStyle w:val="en2"/>
      </w:pPr>
      <w:r>
        <w:t xml:space="preserve">Supplementary Provisions  [Rules of </w:t>
      </w:r>
      <w:r>
        <w:t>the National Public Safety Commission No. 3 of June 21, 2019]</w:t>
      </w:r>
    </w:p>
    <w:p w:rsidR="00204B65" w:rsidRDefault="00204B65"/>
    <w:p w:rsidR="00204B65" w:rsidRDefault="00F06C39">
      <w:pPr>
        <w:pStyle w:val="ena"/>
      </w:pPr>
      <w:r>
        <w:t>(Effective Date)</w:t>
      </w:r>
    </w:p>
    <w:p w:rsidR="00204B65" w:rsidRDefault="00F06C39">
      <w:pPr>
        <w:pStyle w:val="enf4"/>
      </w:pPr>
      <w:r>
        <w:t>(1) These rules come into effect as of July 1, 2019.</w:t>
      </w:r>
    </w:p>
    <w:p w:rsidR="00204B65" w:rsidRDefault="00204B65"/>
    <w:p w:rsidR="00204B65" w:rsidRDefault="00F06C39">
      <w:pPr>
        <w:pStyle w:val="ena"/>
      </w:pPr>
      <w:r>
        <w:t>(Transitional Measures)</w:t>
      </w:r>
    </w:p>
    <w:p w:rsidR="00204B65" w:rsidRDefault="00F06C39">
      <w:pPr>
        <w:pStyle w:val="enf4"/>
      </w:pPr>
      <w:r>
        <w:t>(2) For the documents using forms provided for in the Code of Criminal Investigation, Sample Forms for Act on International Assistance in Investigations, Rules for Training Courses for Persons Responsible for Instruction and Education of Security Guards and Managers of Machine Security Services, Regulations for Enforcement of the Act on Control and Improvement of Amusement Business, Rules for the Amusement Environment Purification Association, Rules for the Certification and Type Approval of Amusement Machi</w:t>
      </w:r>
      <w:r>
        <w:t>nes, Rules for Regional Traffic Safety Promoters and Regional Traffic Safety Promoters Association, Regulations for Enforcement of the Act on Assurance of Car Parking Spaces and Other Matters, Regulations for Enforcement of the Act on Prevention of Unjust Acts by Organized Crime Group Members, Rules for the Holding of Hearings under the Act on Prevention of Unjust Acts by Organized Crime Group Members, Rules for Examination Expert Adviser, Rules for the National Center for the Elimination of Organized Crime</w:t>
      </w:r>
      <w:r>
        <w:t xml:space="preserve"> Groups, Rules for the Traffic Accident Investigation and Analysis Center, Rules for the Designation of Corporations for the Training of Guide Dogs, Rules for the Procedures for Type Approval of Wheeled Walking Aids that Use Motors, Rules for the Designation of Training Courses Offered by Driving Schools Subject to Notification, Rules for the Examination of Skills Evaluators, Rules for Training Courses for Driver's License, Rules for the Designation of Corporations Capable of Preparing Japanese Translations</w:t>
      </w:r>
      <w:r>
        <w:t xml:space="preserve"> of Driver`s Licenses Issued by Administrative Authorities of Foreign Countries, Rules for Designating the Person who will Carry Out Bicycle Theft Prevention Registration, Rules for Notification of Transportation of Specified Substances, Regulations for Enforcement of the Secondhand Goods Business Act, Rules Concerning the Traffic Safety Promotion Center, Rules Concerning Assistance by Prefectural Public Safety Commissions to Prevent the Recurrence of Unauthorized Computer Access, Rules on the Implementatio</w:t>
      </w:r>
      <w:r>
        <w:t>n of the Statement of Opinions by the Commissioner General of the National Police Agency Pursuant to the Provisions of the Act on the Control of Organizations Which Have Committed Acts of Indiscriminate Mass Murder, Rules on the Accreditation of Driver`s License Education, Regulations for Enforcement of the Anti-Stalking Act, Rules on the Implementation of Hearings Under the Provisions of the Anti-Stalking Act, Regulations for Enforcement of the Law Concerning Proper Management of Driver Agency Businesses R</w:t>
      </w:r>
      <w:r>
        <w:t>elated to the National Public Safety Commission, Regulations for Enforcement of the Act on Prohibition of Possession of Special Picking Tools, and Other Related Matters, Regulations for Enforcement of the Act on Regulation on Soliciting Children by Using Opposite Sex Introducing Service on Internet, Rules on Assistance Provided by Chief of Police to Prevent Victimization by Domestic Violence, Rules on the Procedures for Entrusting Confirmation Work, Rules on Confirmation of Subscribers for Mobile Phone Comm</w:t>
      </w:r>
      <w:r>
        <w:t>unication Service Contracts, Regulations Concerning the Examination of Security Guards, Rules on Notification of Transportation of Notifiable Pathogens, Regulations for Enforcement of the Lost Assets Law, Rules on the Implementation of Affairs Under the Provisions of the Act on Prevention of Transfer of Criminal Proceeds, Rules Concerning the Duties of Police Officials Pursuant to the Provisions of Article 6-2, Paragraph (3) of the Juvenile Law, Rules on Supervision for Proper Interrogation of Suspects, Rul</w:t>
      </w:r>
      <w:r>
        <w:t>es for the Designation of Persons Who May Carry Out Part of the Administrative Work Related to Holding Seminars on the Handling of Hunting Rifles and Air Rifles, and Seminars for the Certification of Junior Shooting Qualifications, Rules for Activities to Locate Missing Persons, Regulations for Enforcement of the Act Concerning Investigations of Corpses Handled by the National Public Safety Commission-Related Police and Other Authorities, Rules on Corpse-Handling, Regulations for Enforcement of the Act on S</w:t>
      </w:r>
      <w:r>
        <w:t>pecial Measures Concerning the Freezing of the Assets of International Terrorists Implemented by Japan in Light of the United Nations Security Council Resolution 1267, Rules concerning implementation of hearings of opinion based on the Act on Special Measures Concerning the Freezing of Assets of International Terrorists Implemented by Japan in Light of the United Nations Security Council Resolution 1267, and Regulations for Enforcement of the Act on Prohibition of Flights of Small Unmanned Aerial Vehicles o</w:t>
      </w:r>
      <w:r>
        <w:t>ver Areas Surrounding Important Facilities before the amendment of this Rule, notwithstanding the form prescribed in these rules and regulations after amendment of this Rule, those documents may continue to be used until otherwise provided for by laws and regulations.</w:t>
      </w:r>
    </w:p>
    <w:p w:rsidR="00204B65" w:rsidRDefault="00204B65"/>
    <w:p w:rsidR="00204B65" w:rsidRDefault="00F06C39">
      <w:pPr>
        <w:pStyle w:val="en2"/>
      </w:pPr>
      <w:r>
        <w:t>Supplementary Provisions  [Rules of the National Public Safety Commission No. 13 of December 28, 2020]</w:t>
      </w:r>
    </w:p>
    <w:p w:rsidR="00204B65" w:rsidRDefault="00204B65"/>
    <w:p w:rsidR="00204B65" w:rsidRDefault="00F06C39">
      <w:pPr>
        <w:pStyle w:val="ena"/>
      </w:pPr>
      <w:r>
        <w:t>(Effective Date)</w:t>
      </w:r>
    </w:p>
    <w:p w:rsidR="00204B65" w:rsidRDefault="00F06C39">
      <w:pPr>
        <w:pStyle w:val="enf3"/>
      </w:pPr>
      <w:r>
        <w:t>Article 1  This Rule come into effect on the day of promulgation.</w:t>
      </w:r>
    </w:p>
    <w:p w:rsidR="00204B65" w:rsidRDefault="00204B65"/>
    <w:p w:rsidR="00204B65" w:rsidRDefault="00F06C39">
      <w:pPr>
        <w:pStyle w:val="ena"/>
      </w:pPr>
      <w:r>
        <w:t>(Transitional Measures)</w:t>
      </w:r>
    </w:p>
    <w:p w:rsidR="00204B65" w:rsidRDefault="00F06C39">
      <w:pPr>
        <w:pStyle w:val="enf3"/>
      </w:pPr>
      <w:r>
        <w:t>Article 2  (1) Documents using forms before revision by this Rule (referred to as the "former forms" in the following paragraph) are deemed to be those using the forms revised by this Rule, until otherwise provided for by laws and regulations.</w:t>
      </w:r>
    </w:p>
    <w:p w:rsidR="00204B65" w:rsidRDefault="00F06C39">
      <w:pPr>
        <w:pStyle w:val="enf4"/>
      </w:pPr>
      <w:r>
        <w:t>(2) Pages using the former forms may be used by making amendments to them, until otherwise provided for by laws and regulations.</w:t>
      </w:r>
    </w:p>
    <w:p w:rsidR="00204B65" w:rsidRDefault="00204B65"/>
    <w:p w:rsidR="00204B65" w:rsidRDefault="00F06C39">
      <w:pPr>
        <w:pStyle w:val="en2"/>
      </w:pPr>
      <w:r>
        <w:t>Supplementary Provisions  [Rules No. 10 of the National Public Safety Commission of May 26, 2023]</w:t>
      </w:r>
    </w:p>
    <w:p w:rsidR="00204B65" w:rsidRDefault="00204B65"/>
    <w:p w:rsidR="00204B65" w:rsidRDefault="00F06C39">
      <w:pPr>
        <w:pStyle w:val="ena"/>
      </w:pPr>
      <w:r>
        <w:t>(Effective Date)</w:t>
      </w:r>
    </w:p>
    <w:p w:rsidR="00204B65" w:rsidRDefault="00F06C39">
      <w:pPr>
        <w:pStyle w:val="enf3"/>
      </w:pPr>
      <w:r>
        <w:t>Article 1  This Rule come into effect on the date of enforcement (June 1, 2023) of the Act for Partial Revision of the Act on Special Measures Concerning the Freezing of Assets of International Terrorists Implemented by Japan in Light of the United Nations Security Council Resolution 1267 to Deal with the International Transfer of Illegal Funds.</w:t>
      </w:r>
    </w:p>
    <w:p w:rsidR="00204B65" w:rsidRDefault="00204B65"/>
    <w:p w:rsidR="00204B65" w:rsidRDefault="00F06C39">
      <w:pPr>
        <w:pStyle w:val="ena"/>
      </w:pPr>
      <w:r>
        <w:t>(Transitional Measures)</w:t>
      </w:r>
    </w:p>
    <w:p w:rsidR="00204B65" w:rsidRDefault="00F06C39">
      <w:pPr>
        <w:pStyle w:val="enf3"/>
      </w:pPr>
      <w:r>
        <w:t>Article 2  (1) Documents using forms before revision by this Rule (referred to as the "former forms" in the following paragraph) are deemed to be those using the forms revised by this Rule, until otherwise provided for by laws and regulations.</w:t>
      </w:r>
    </w:p>
    <w:p w:rsidR="00204B65" w:rsidRDefault="00F06C39">
      <w:pPr>
        <w:pStyle w:val="enf4"/>
      </w:pPr>
      <w:r>
        <w:t>(2) Pages using the former forms may be used by making amendments to them, until otherwise provided for by laws and regulations.</w:t>
      </w:r>
    </w:p>
    <w:sectPr w:rsidR="00204B65" w:rsidSect="00204B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4B65" w:rsidRDefault="00204B65" w:rsidP="00204B65">
      <w:r>
        <w:separator/>
      </w:r>
    </w:p>
  </w:endnote>
  <w:endnote w:type="continuationSeparator" w:id="0">
    <w:p w:rsidR="00204B65" w:rsidRDefault="00204B65" w:rsidP="0020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4B65" w:rsidRDefault="00204B65">
    <w:pPr>
      <w:pStyle w:val="a3"/>
    </w:pPr>
    <w:r>
      <w:fldChar w:fldCharType="begin"/>
    </w:r>
    <w:r>
      <w:instrText xml:space="preserve"> PAGE  \* MERGEFORMAT </w:instrText>
    </w:r>
    <w:r>
      <w:fldChar w:fldCharType="separate"/>
    </w:r>
    <w:r w:rsidR="00F06C3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4B65" w:rsidRDefault="00204B65" w:rsidP="00204B65">
      <w:r>
        <w:separator/>
      </w:r>
    </w:p>
  </w:footnote>
  <w:footnote w:type="continuationSeparator" w:id="0">
    <w:p w:rsidR="00204B65" w:rsidRDefault="00204B65" w:rsidP="0020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7C4D"/>
    <w:multiLevelType w:val="multilevel"/>
    <w:tmpl w:val="D146251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D40793"/>
    <w:multiLevelType w:val="multilevel"/>
    <w:tmpl w:val="7BFE33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5D6066D"/>
    <w:multiLevelType w:val="multilevel"/>
    <w:tmpl w:val="75689B9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203CDC"/>
    <w:multiLevelType w:val="multilevel"/>
    <w:tmpl w:val="09C667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5AF188B"/>
    <w:multiLevelType w:val="multilevel"/>
    <w:tmpl w:val="7744E7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B2A4021"/>
    <w:multiLevelType w:val="multilevel"/>
    <w:tmpl w:val="04B266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F47B05"/>
    <w:multiLevelType w:val="multilevel"/>
    <w:tmpl w:val="8DB6F5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8A21154"/>
    <w:multiLevelType w:val="multilevel"/>
    <w:tmpl w:val="EFE82D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17A5543"/>
    <w:multiLevelType w:val="multilevel"/>
    <w:tmpl w:val="6ADE4E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ADA0D32"/>
    <w:multiLevelType w:val="multilevel"/>
    <w:tmpl w:val="AEB4D0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436383"/>
    <w:multiLevelType w:val="multilevel"/>
    <w:tmpl w:val="ED8A8D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51364C"/>
    <w:multiLevelType w:val="multilevel"/>
    <w:tmpl w:val="5C2C78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F253993"/>
    <w:multiLevelType w:val="multilevel"/>
    <w:tmpl w:val="095684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80721236">
    <w:abstractNumId w:val="3"/>
  </w:num>
  <w:num w:numId="2" w16cid:durableId="1547990858">
    <w:abstractNumId w:val="0"/>
  </w:num>
  <w:num w:numId="3" w16cid:durableId="1232689979">
    <w:abstractNumId w:val="4"/>
  </w:num>
  <w:num w:numId="4" w16cid:durableId="655569518">
    <w:abstractNumId w:val="5"/>
  </w:num>
  <w:num w:numId="5" w16cid:durableId="866529519">
    <w:abstractNumId w:val="8"/>
  </w:num>
  <w:num w:numId="6" w16cid:durableId="1879777476">
    <w:abstractNumId w:val="1"/>
  </w:num>
  <w:num w:numId="7" w16cid:durableId="28184702">
    <w:abstractNumId w:val="7"/>
  </w:num>
  <w:num w:numId="8" w16cid:durableId="1870993876">
    <w:abstractNumId w:val="12"/>
  </w:num>
  <w:num w:numId="9" w16cid:durableId="1787964931">
    <w:abstractNumId w:val="2"/>
  </w:num>
  <w:num w:numId="10" w16cid:durableId="1416513907">
    <w:abstractNumId w:val="10"/>
  </w:num>
  <w:num w:numId="11" w16cid:durableId="179314768">
    <w:abstractNumId w:val="6"/>
  </w:num>
  <w:num w:numId="12" w16cid:durableId="1952202902">
    <w:abstractNumId w:val="11"/>
  </w:num>
  <w:num w:numId="13" w16cid:durableId="153544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04B65"/>
    <w:rsid w:val="00204B65"/>
    <w:rsid w:val="007E091D"/>
    <w:rsid w:val="00F06C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B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04B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04B65"/>
    <w:rPr>
      <w:rFonts w:ascii="Century" w:eastAsia="Century" w:hAnsi="Century"/>
    </w:rPr>
  </w:style>
  <w:style w:type="paragraph" w:customStyle="1" w:styleId="ja0">
    <w:name w:val="款（ja）"/>
    <w:basedOn w:val="a"/>
    <w:rsid w:val="00204B65"/>
    <w:pPr>
      <w:widowControl w:val="0"/>
      <w:ind w:left="1321" w:hanging="221"/>
    </w:pPr>
    <w:rPr>
      <w:rFonts w:ascii="ＭＳ 明朝" w:eastAsia="ＭＳ 明朝" w:hAnsi="ＭＳ 明朝" w:cs="ＭＳ 明朝"/>
      <w:b/>
    </w:rPr>
  </w:style>
  <w:style w:type="paragraph" w:customStyle="1" w:styleId="en0">
    <w:name w:val="款（en）"/>
    <w:basedOn w:val="ja0"/>
    <w:rsid w:val="00204B65"/>
    <w:rPr>
      <w:rFonts w:ascii="Century" w:eastAsia="Century" w:hAnsi="Century" w:cs="Century"/>
    </w:rPr>
  </w:style>
  <w:style w:type="paragraph" w:customStyle="1" w:styleId="ja1">
    <w:name w:val="前文（ja）"/>
    <w:basedOn w:val="a"/>
    <w:rsid w:val="00204B65"/>
    <w:pPr>
      <w:widowControl w:val="0"/>
      <w:ind w:firstLine="219"/>
    </w:pPr>
    <w:rPr>
      <w:rFonts w:ascii="ＭＳ 明朝" w:eastAsia="ＭＳ 明朝" w:hAnsi="ＭＳ 明朝" w:cs="ＭＳ 明朝"/>
    </w:rPr>
  </w:style>
  <w:style w:type="paragraph" w:customStyle="1" w:styleId="en1">
    <w:name w:val="前文（en）"/>
    <w:basedOn w:val="ja1"/>
    <w:rsid w:val="00204B65"/>
    <w:rPr>
      <w:rFonts w:ascii="Century" w:eastAsia="Century" w:hAnsi="Century" w:cs="Century"/>
    </w:rPr>
  </w:style>
  <w:style w:type="paragraph" w:customStyle="1" w:styleId="ja2">
    <w:name w:val="附則（ja）"/>
    <w:basedOn w:val="a"/>
    <w:rsid w:val="00204B65"/>
    <w:pPr>
      <w:widowControl w:val="0"/>
      <w:ind w:left="881" w:hanging="221"/>
    </w:pPr>
    <w:rPr>
      <w:rFonts w:ascii="ＭＳ 明朝" w:eastAsia="ＭＳ 明朝" w:hAnsi="ＭＳ 明朝" w:cs="ＭＳ 明朝"/>
      <w:b/>
    </w:rPr>
  </w:style>
  <w:style w:type="paragraph" w:customStyle="1" w:styleId="en2">
    <w:name w:val="附則（en）"/>
    <w:basedOn w:val="ja2"/>
    <w:rsid w:val="00204B65"/>
    <w:rPr>
      <w:rFonts w:ascii="Century" w:hAnsi="Century" w:cs="Century"/>
    </w:rPr>
  </w:style>
  <w:style w:type="paragraph" w:customStyle="1" w:styleId="ja3">
    <w:name w:val="章（ja）"/>
    <w:basedOn w:val="a"/>
    <w:rsid w:val="00204B65"/>
    <w:pPr>
      <w:widowControl w:val="0"/>
      <w:ind w:left="881" w:hanging="221"/>
    </w:pPr>
    <w:rPr>
      <w:rFonts w:ascii="ＭＳ 明朝" w:eastAsia="ＭＳ 明朝" w:hAnsi="ＭＳ 明朝" w:cs="ＭＳ 明朝"/>
      <w:b/>
    </w:rPr>
  </w:style>
  <w:style w:type="paragraph" w:customStyle="1" w:styleId="en3">
    <w:name w:val="章（en）"/>
    <w:basedOn w:val="ja3"/>
    <w:rsid w:val="00204B65"/>
    <w:rPr>
      <w:rFonts w:ascii="Century" w:eastAsia="Century" w:hAnsi="Century" w:cs="Century"/>
    </w:rPr>
  </w:style>
  <w:style w:type="paragraph" w:customStyle="1" w:styleId="ja4">
    <w:name w:val="目次編（ja）"/>
    <w:basedOn w:val="a"/>
    <w:rsid w:val="00204B65"/>
    <w:pPr>
      <w:widowControl w:val="0"/>
      <w:ind w:left="219" w:hanging="219"/>
    </w:pPr>
    <w:rPr>
      <w:rFonts w:ascii="ＭＳ 明朝" w:eastAsia="ＭＳ 明朝" w:hAnsi="ＭＳ 明朝"/>
    </w:rPr>
  </w:style>
  <w:style w:type="paragraph" w:customStyle="1" w:styleId="en4">
    <w:name w:val="目次編（en）"/>
    <w:basedOn w:val="ja4"/>
    <w:rsid w:val="00204B65"/>
    <w:rPr>
      <w:rFonts w:ascii="Century" w:eastAsia="Century" w:hAnsi="Century"/>
    </w:rPr>
  </w:style>
  <w:style w:type="paragraph" w:customStyle="1" w:styleId="ja5">
    <w:name w:val="目次章（ja）"/>
    <w:basedOn w:val="a"/>
    <w:rsid w:val="00204B65"/>
    <w:pPr>
      <w:widowControl w:val="0"/>
      <w:ind w:left="439" w:hanging="219"/>
    </w:pPr>
    <w:rPr>
      <w:rFonts w:ascii="ＭＳ 明朝" w:eastAsia="ＭＳ 明朝" w:hAnsi="ＭＳ 明朝"/>
    </w:rPr>
  </w:style>
  <w:style w:type="paragraph" w:customStyle="1" w:styleId="en5">
    <w:name w:val="目次章（en）"/>
    <w:basedOn w:val="ja5"/>
    <w:rsid w:val="00204B65"/>
    <w:rPr>
      <w:rFonts w:ascii="Century" w:eastAsia="Century" w:hAnsi="Century"/>
    </w:rPr>
  </w:style>
  <w:style w:type="paragraph" w:customStyle="1" w:styleId="ja6">
    <w:name w:val="目次節（ja）"/>
    <w:basedOn w:val="a"/>
    <w:rsid w:val="00204B65"/>
    <w:pPr>
      <w:widowControl w:val="0"/>
      <w:ind w:left="659" w:hanging="219"/>
    </w:pPr>
    <w:rPr>
      <w:rFonts w:ascii="ＭＳ 明朝" w:eastAsia="ＭＳ 明朝" w:hAnsi="ＭＳ 明朝"/>
    </w:rPr>
  </w:style>
  <w:style w:type="paragraph" w:customStyle="1" w:styleId="en6">
    <w:name w:val="目次節（en）"/>
    <w:basedOn w:val="ja6"/>
    <w:rsid w:val="00204B65"/>
    <w:rPr>
      <w:rFonts w:ascii="Century" w:eastAsia="Century" w:hAnsi="Century"/>
    </w:rPr>
  </w:style>
  <w:style w:type="paragraph" w:customStyle="1" w:styleId="ja7">
    <w:name w:val="目次款（ja）"/>
    <w:basedOn w:val="a"/>
    <w:rsid w:val="00204B65"/>
    <w:pPr>
      <w:widowControl w:val="0"/>
      <w:ind w:left="879" w:hanging="219"/>
    </w:pPr>
    <w:rPr>
      <w:rFonts w:ascii="ＭＳ 明朝" w:eastAsia="ＭＳ 明朝" w:hAnsi="ＭＳ 明朝" w:cs="Kochi Mincho"/>
    </w:rPr>
  </w:style>
  <w:style w:type="paragraph" w:customStyle="1" w:styleId="en7">
    <w:name w:val="目次款（en）"/>
    <w:basedOn w:val="ja7"/>
    <w:rsid w:val="00204B65"/>
    <w:rPr>
      <w:rFonts w:ascii="Century" w:eastAsia="Century" w:hAnsi="Century"/>
    </w:rPr>
  </w:style>
  <w:style w:type="paragraph" w:customStyle="1" w:styleId="ja8">
    <w:name w:val="別表名（ja）"/>
    <w:basedOn w:val="a"/>
    <w:rsid w:val="00204B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204B65"/>
    <w:rPr>
      <w:rFonts w:ascii="Century" w:eastAsia="Century" w:hAnsi="Century" w:cs="Century"/>
    </w:rPr>
  </w:style>
  <w:style w:type="paragraph" w:customStyle="1" w:styleId="ja9">
    <w:name w:val="目（ja）"/>
    <w:basedOn w:val="a"/>
    <w:rsid w:val="00204B65"/>
    <w:pPr>
      <w:widowControl w:val="0"/>
      <w:ind w:left="1541" w:hanging="221"/>
    </w:pPr>
    <w:rPr>
      <w:rFonts w:ascii="ＭＳ 明朝" w:eastAsia="ＭＳ 明朝" w:hAnsi="ＭＳ 明朝" w:cs="ＭＳ 明朝"/>
      <w:b/>
    </w:rPr>
  </w:style>
  <w:style w:type="paragraph" w:customStyle="1" w:styleId="en9">
    <w:name w:val="目（en）"/>
    <w:basedOn w:val="ja9"/>
    <w:rsid w:val="00204B65"/>
    <w:rPr>
      <w:rFonts w:ascii="Century" w:eastAsia="Century" w:hAnsi="Century" w:cs="Century"/>
    </w:rPr>
  </w:style>
  <w:style w:type="paragraph" w:customStyle="1" w:styleId="jaa">
    <w:name w:val="見出し（ja）"/>
    <w:basedOn w:val="a"/>
    <w:rsid w:val="00204B65"/>
    <w:pPr>
      <w:widowControl w:val="0"/>
      <w:ind w:left="439" w:hanging="219"/>
    </w:pPr>
    <w:rPr>
      <w:rFonts w:ascii="ＭＳ 明朝" w:eastAsia="ＭＳ 明朝" w:hAnsi="ＭＳ 明朝" w:cs="ＭＳ 明朝"/>
    </w:rPr>
  </w:style>
  <w:style w:type="paragraph" w:customStyle="1" w:styleId="ena">
    <w:name w:val="見出し（en）"/>
    <w:basedOn w:val="jaa"/>
    <w:rsid w:val="00204B65"/>
    <w:rPr>
      <w:rFonts w:ascii="Century" w:eastAsia="Century" w:hAnsi="Century" w:cs="Century"/>
    </w:rPr>
  </w:style>
  <w:style w:type="paragraph" w:styleId="a3">
    <w:name w:val="footer"/>
    <w:basedOn w:val="a"/>
    <w:rsid w:val="00204B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04B65"/>
    <w:pPr>
      <w:widowControl w:val="0"/>
      <w:ind w:left="1099" w:hanging="219"/>
    </w:pPr>
    <w:rPr>
      <w:rFonts w:ascii="ＭＳ 明朝" w:eastAsia="ＭＳ 明朝" w:hAnsi="ＭＳ 明朝" w:cs="Kochi Mincho"/>
    </w:rPr>
  </w:style>
  <w:style w:type="paragraph" w:customStyle="1" w:styleId="enb">
    <w:name w:val="目次目（en）"/>
    <w:basedOn w:val="jab"/>
    <w:rsid w:val="00204B65"/>
    <w:rPr>
      <w:rFonts w:ascii="Century" w:eastAsia="Century" w:hAnsi="Century"/>
    </w:rPr>
  </w:style>
  <w:style w:type="paragraph" w:customStyle="1" w:styleId="jac">
    <w:name w:val="目次附則（ja）"/>
    <w:basedOn w:val="a"/>
    <w:rsid w:val="00204B65"/>
    <w:pPr>
      <w:widowControl w:val="0"/>
      <w:ind w:left="439" w:hanging="219"/>
    </w:pPr>
    <w:rPr>
      <w:rFonts w:ascii="ＭＳ 明朝" w:eastAsia="ＭＳ 明朝" w:hAnsi="ＭＳ 明朝" w:cs="Kochi Mincho"/>
    </w:rPr>
  </w:style>
  <w:style w:type="paragraph" w:customStyle="1" w:styleId="enc">
    <w:name w:val="目次附則（en）"/>
    <w:basedOn w:val="jac"/>
    <w:rsid w:val="00204B65"/>
    <w:rPr>
      <w:rFonts w:ascii="Century" w:eastAsia="Century" w:hAnsi="Century" w:cs="Century"/>
    </w:rPr>
  </w:style>
  <w:style w:type="paragraph" w:customStyle="1" w:styleId="jad">
    <w:name w:val="目次前文（ja）"/>
    <w:basedOn w:val="jac"/>
    <w:rsid w:val="00204B65"/>
  </w:style>
  <w:style w:type="paragraph" w:customStyle="1" w:styleId="end">
    <w:name w:val="目次前文（en）"/>
    <w:basedOn w:val="enc"/>
    <w:rsid w:val="00204B65"/>
  </w:style>
  <w:style w:type="paragraph" w:customStyle="1" w:styleId="jae">
    <w:name w:val="制定文（ja）"/>
    <w:basedOn w:val="a"/>
    <w:rsid w:val="00204B65"/>
    <w:pPr>
      <w:widowControl w:val="0"/>
      <w:ind w:firstLine="219"/>
    </w:pPr>
    <w:rPr>
      <w:rFonts w:ascii="ＭＳ 明朝" w:eastAsia="ＭＳ 明朝" w:hAnsi="ＭＳ 明朝" w:cs="ＭＳ 明朝"/>
    </w:rPr>
  </w:style>
  <w:style w:type="paragraph" w:customStyle="1" w:styleId="ene">
    <w:name w:val="制定文（en）"/>
    <w:basedOn w:val="jae"/>
    <w:rsid w:val="00204B65"/>
    <w:rPr>
      <w:rFonts w:ascii="Century" w:eastAsia="Century" w:hAnsi="Century" w:cs="Century"/>
    </w:rPr>
  </w:style>
  <w:style w:type="paragraph" w:customStyle="1" w:styleId="jaf">
    <w:name w:val="法令番号（ja）"/>
    <w:basedOn w:val="a"/>
    <w:rsid w:val="00204B65"/>
    <w:pPr>
      <w:widowControl w:val="0"/>
      <w:jc w:val="right"/>
    </w:pPr>
    <w:rPr>
      <w:rFonts w:ascii="ＭＳ 明朝" w:eastAsia="ＭＳ 明朝" w:hAnsi="ＭＳ 明朝" w:cs="Kochi Mincho"/>
    </w:rPr>
  </w:style>
  <w:style w:type="paragraph" w:customStyle="1" w:styleId="enf">
    <w:name w:val="法令番号（en）"/>
    <w:basedOn w:val="jaf"/>
    <w:rsid w:val="00204B65"/>
    <w:rPr>
      <w:rFonts w:ascii="Century" w:eastAsia="Century" w:hAnsi="Century" w:cs="Century"/>
    </w:rPr>
  </w:style>
  <w:style w:type="paragraph" w:customStyle="1" w:styleId="jaf0">
    <w:name w:val="目次（ja）"/>
    <w:basedOn w:val="a"/>
    <w:rsid w:val="00204B65"/>
    <w:rPr>
      <w:rFonts w:ascii="ＭＳ 明朝" w:eastAsia="ＭＳ 明朝" w:hAnsi="ＭＳ 明朝"/>
    </w:rPr>
  </w:style>
  <w:style w:type="paragraph" w:customStyle="1" w:styleId="enf0">
    <w:name w:val="目次（en）"/>
    <w:basedOn w:val="jaf0"/>
    <w:rsid w:val="00204B65"/>
    <w:rPr>
      <w:rFonts w:ascii="Century" w:eastAsia="Century" w:hAnsi="Century"/>
    </w:rPr>
  </w:style>
  <w:style w:type="paragraph" w:customStyle="1" w:styleId="jaf1">
    <w:name w:val="編（ja）"/>
    <w:basedOn w:val="a"/>
    <w:rsid w:val="00204B65"/>
    <w:pPr>
      <w:widowControl w:val="0"/>
      <w:ind w:left="661" w:hanging="221"/>
    </w:pPr>
    <w:rPr>
      <w:rFonts w:ascii="ＭＳ 明朝" w:eastAsia="ＭＳ 明朝" w:hAnsi="ＭＳ 明朝" w:cs="ＭＳ 明朝"/>
      <w:b/>
    </w:rPr>
  </w:style>
  <w:style w:type="paragraph" w:customStyle="1" w:styleId="enf1">
    <w:name w:val="編（en）"/>
    <w:basedOn w:val="jaf1"/>
    <w:rsid w:val="00204B65"/>
    <w:rPr>
      <w:rFonts w:ascii="Century" w:eastAsia="Century" w:hAnsi="Century" w:cs="Century"/>
    </w:rPr>
  </w:style>
  <w:style w:type="paragraph" w:customStyle="1" w:styleId="jaf2">
    <w:name w:val="節（ja）"/>
    <w:basedOn w:val="a"/>
    <w:rsid w:val="00204B65"/>
    <w:pPr>
      <w:widowControl w:val="0"/>
      <w:ind w:left="1101" w:hanging="221"/>
    </w:pPr>
    <w:rPr>
      <w:rFonts w:ascii="ＭＳ 明朝" w:eastAsia="ＭＳ 明朝" w:hAnsi="ＭＳ 明朝" w:cs="ＭＳ 明朝"/>
      <w:b/>
    </w:rPr>
  </w:style>
  <w:style w:type="paragraph" w:customStyle="1" w:styleId="enf2">
    <w:name w:val="節（en）"/>
    <w:basedOn w:val="jaf2"/>
    <w:rsid w:val="00204B65"/>
    <w:rPr>
      <w:rFonts w:ascii="Century" w:eastAsia="Century" w:hAnsi="Century" w:cs="Century"/>
    </w:rPr>
  </w:style>
  <w:style w:type="paragraph" w:customStyle="1" w:styleId="jaf3">
    <w:name w:val="条（ja）"/>
    <w:basedOn w:val="a"/>
    <w:rsid w:val="00204B65"/>
    <w:pPr>
      <w:widowControl w:val="0"/>
      <w:ind w:left="219" w:hanging="219"/>
    </w:pPr>
    <w:rPr>
      <w:rFonts w:ascii="ＭＳ 明朝" w:eastAsia="ＭＳ 明朝" w:hAnsi="ＭＳ 明朝" w:cs="ＭＳ 明朝"/>
    </w:rPr>
  </w:style>
  <w:style w:type="paragraph" w:customStyle="1" w:styleId="enf3">
    <w:name w:val="条（en）"/>
    <w:basedOn w:val="jaf3"/>
    <w:rsid w:val="00204B65"/>
    <w:rPr>
      <w:rFonts w:ascii="Century" w:eastAsia="Century" w:hAnsi="Century" w:cs="Century"/>
    </w:rPr>
  </w:style>
  <w:style w:type="paragraph" w:customStyle="1" w:styleId="jaf4">
    <w:name w:val="項（ja）"/>
    <w:basedOn w:val="a"/>
    <w:rsid w:val="00204B65"/>
    <w:pPr>
      <w:widowControl w:val="0"/>
      <w:ind w:left="219" w:hanging="219"/>
    </w:pPr>
    <w:rPr>
      <w:rFonts w:ascii="ＭＳ 明朝" w:eastAsia="ＭＳ 明朝" w:hAnsi="ＭＳ 明朝" w:cs="ＭＳ 明朝"/>
    </w:rPr>
  </w:style>
  <w:style w:type="paragraph" w:customStyle="1" w:styleId="enf4">
    <w:name w:val="項（en）"/>
    <w:basedOn w:val="jaf4"/>
    <w:rsid w:val="00204B65"/>
    <w:rPr>
      <w:rFonts w:ascii="Century" w:eastAsia="Century" w:hAnsi="Century" w:cs="Century"/>
    </w:rPr>
  </w:style>
  <w:style w:type="paragraph" w:customStyle="1" w:styleId="jaf5">
    <w:name w:val="項　番号なし（ja）"/>
    <w:basedOn w:val="a"/>
    <w:rsid w:val="00204B65"/>
    <w:pPr>
      <w:widowControl w:val="0"/>
      <w:ind w:firstLine="221"/>
    </w:pPr>
    <w:rPr>
      <w:rFonts w:ascii="ＭＳ 明朝" w:eastAsia="ＭＳ 明朝" w:hAnsi="ＭＳ 明朝" w:cs="ＭＳ 明朝"/>
    </w:rPr>
  </w:style>
  <w:style w:type="paragraph" w:customStyle="1" w:styleId="enf5">
    <w:name w:val="項　番号なし（en）"/>
    <w:basedOn w:val="jaf5"/>
    <w:rsid w:val="00204B65"/>
    <w:rPr>
      <w:rFonts w:ascii="Century" w:eastAsia="Century" w:hAnsi="Century" w:cs="Century"/>
    </w:rPr>
  </w:style>
  <w:style w:type="paragraph" w:customStyle="1" w:styleId="jaf6">
    <w:name w:val="号（ja）"/>
    <w:basedOn w:val="a"/>
    <w:rsid w:val="00204B65"/>
    <w:pPr>
      <w:widowControl w:val="0"/>
      <w:ind w:left="439" w:hanging="219"/>
    </w:pPr>
    <w:rPr>
      <w:rFonts w:ascii="ＭＳ 明朝" w:eastAsia="ＭＳ 明朝" w:hAnsi="ＭＳ 明朝" w:cs="ＭＳ 明朝"/>
    </w:rPr>
  </w:style>
  <w:style w:type="paragraph" w:customStyle="1" w:styleId="enf6">
    <w:name w:val="号（en）"/>
    <w:basedOn w:val="jaf6"/>
    <w:rsid w:val="00204B65"/>
    <w:rPr>
      <w:rFonts w:ascii="Century" w:eastAsia="Century" w:hAnsi="Century" w:cs="Century"/>
    </w:rPr>
  </w:style>
  <w:style w:type="paragraph" w:customStyle="1" w:styleId="jaf7">
    <w:name w:val="号　番号なし（ja）"/>
    <w:basedOn w:val="a"/>
    <w:rsid w:val="00204B65"/>
    <w:pPr>
      <w:widowControl w:val="0"/>
      <w:ind w:left="221" w:firstLine="221"/>
    </w:pPr>
    <w:rPr>
      <w:rFonts w:ascii="ＭＳ 明朝" w:eastAsia="ＭＳ 明朝" w:hAnsi="ＭＳ 明朝" w:cs="ＭＳ 明朝"/>
    </w:rPr>
  </w:style>
  <w:style w:type="paragraph" w:customStyle="1" w:styleId="enf7">
    <w:name w:val="号　番号なし（en）"/>
    <w:basedOn w:val="jaf7"/>
    <w:rsid w:val="00204B65"/>
    <w:rPr>
      <w:rFonts w:ascii="Century" w:eastAsia="Century" w:hAnsi="Century" w:cs="Century"/>
    </w:rPr>
  </w:style>
  <w:style w:type="paragraph" w:customStyle="1" w:styleId="jaf8">
    <w:name w:val="備考号（ja）"/>
    <w:basedOn w:val="a"/>
    <w:rsid w:val="00204B65"/>
    <w:pPr>
      <w:widowControl w:val="0"/>
      <w:ind w:left="659" w:hanging="219"/>
    </w:pPr>
    <w:rPr>
      <w:rFonts w:ascii="ＭＳ 明朝" w:eastAsia="ＭＳ 明朝" w:hAnsi="ＭＳ 明朝" w:cs="ＭＳ 明朝"/>
    </w:rPr>
  </w:style>
  <w:style w:type="paragraph" w:customStyle="1" w:styleId="enf8">
    <w:name w:val="備考号（en）"/>
    <w:basedOn w:val="jaf8"/>
    <w:rsid w:val="00204B65"/>
    <w:rPr>
      <w:rFonts w:ascii="Century" w:eastAsia="Century" w:hAnsi="Century" w:cs="Century"/>
    </w:rPr>
  </w:style>
  <w:style w:type="paragraph" w:customStyle="1" w:styleId="jaf9">
    <w:name w:val="号細分（ja）"/>
    <w:basedOn w:val="a"/>
    <w:rsid w:val="00204B65"/>
    <w:pPr>
      <w:widowControl w:val="0"/>
      <w:ind w:left="659" w:hanging="219"/>
    </w:pPr>
    <w:rPr>
      <w:rFonts w:ascii="ＭＳ 明朝" w:eastAsia="ＭＳ 明朝" w:hAnsi="ＭＳ 明朝" w:cs="ＭＳ 明朝"/>
    </w:rPr>
  </w:style>
  <w:style w:type="paragraph" w:customStyle="1" w:styleId="enf9">
    <w:name w:val="号細分（en）"/>
    <w:basedOn w:val="jaf9"/>
    <w:rsid w:val="00204B65"/>
    <w:rPr>
      <w:rFonts w:ascii="Century" w:eastAsia="Century" w:hAnsi="Century" w:cs="Century"/>
    </w:rPr>
  </w:style>
  <w:style w:type="paragraph" w:customStyle="1" w:styleId="jafa">
    <w:name w:val="号細分　番号なし（ja）"/>
    <w:basedOn w:val="a"/>
    <w:rsid w:val="00204B65"/>
    <w:pPr>
      <w:widowControl w:val="0"/>
      <w:ind w:left="439"/>
    </w:pPr>
    <w:rPr>
      <w:rFonts w:ascii="ＭＳ 明朝" w:eastAsia="ＭＳ 明朝" w:hAnsi="ＭＳ 明朝" w:cs="ＭＳ 明朝"/>
    </w:rPr>
  </w:style>
  <w:style w:type="paragraph" w:customStyle="1" w:styleId="enfa">
    <w:name w:val="号細分　番号なし（en）"/>
    <w:basedOn w:val="jafa"/>
    <w:rsid w:val="00204B65"/>
    <w:rPr>
      <w:rFonts w:ascii="Century" w:eastAsia="Century" w:hAnsi="Century" w:cs="Century"/>
    </w:rPr>
  </w:style>
  <w:style w:type="paragraph" w:customStyle="1" w:styleId="jafb">
    <w:name w:val="備考号細分（ja）"/>
    <w:basedOn w:val="a"/>
    <w:rsid w:val="00204B65"/>
    <w:pPr>
      <w:widowControl w:val="0"/>
      <w:ind w:left="1099" w:hanging="439"/>
    </w:pPr>
    <w:rPr>
      <w:rFonts w:ascii="ＭＳ 明朝" w:eastAsia="ＭＳ 明朝" w:hAnsi="ＭＳ 明朝" w:cs="ＭＳ 明朝"/>
    </w:rPr>
  </w:style>
  <w:style w:type="paragraph" w:customStyle="1" w:styleId="enfb">
    <w:name w:val="備考号細分（en）"/>
    <w:basedOn w:val="jafb"/>
    <w:rsid w:val="00204B65"/>
    <w:rPr>
      <w:rFonts w:ascii="Century" w:eastAsia="Century" w:hAnsi="Century" w:cs="Century"/>
    </w:rPr>
  </w:style>
  <w:style w:type="paragraph" w:customStyle="1" w:styleId="jafc">
    <w:name w:val="号細細分（ja）"/>
    <w:basedOn w:val="a"/>
    <w:rsid w:val="00204B65"/>
    <w:pPr>
      <w:widowControl w:val="0"/>
      <w:ind w:left="1099" w:hanging="439"/>
    </w:pPr>
    <w:rPr>
      <w:rFonts w:ascii="ＭＳ 明朝" w:eastAsia="ＭＳ 明朝" w:hAnsi="ＭＳ 明朝" w:cs="ＭＳ 明朝"/>
    </w:rPr>
  </w:style>
  <w:style w:type="paragraph" w:customStyle="1" w:styleId="enfc">
    <w:name w:val="号細細分（en）"/>
    <w:basedOn w:val="jafc"/>
    <w:rsid w:val="00204B65"/>
    <w:rPr>
      <w:rFonts w:ascii="Century" w:eastAsia="Century" w:hAnsi="Century" w:cs="Century"/>
    </w:rPr>
  </w:style>
  <w:style w:type="paragraph" w:customStyle="1" w:styleId="jafd">
    <w:name w:val="号細細分　番号なし（ja）"/>
    <w:basedOn w:val="a"/>
    <w:rsid w:val="00204B65"/>
    <w:pPr>
      <w:widowControl w:val="0"/>
      <w:ind w:left="659"/>
    </w:pPr>
    <w:rPr>
      <w:rFonts w:ascii="ＭＳ 明朝" w:eastAsia="ＭＳ 明朝" w:hAnsi="ＭＳ 明朝" w:cs="ＭＳ 明朝"/>
    </w:rPr>
  </w:style>
  <w:style w:type="paragraph" w:customStyle="1" w:styleId="enfd">
    <w:name w:val="号細細分　番号なし（en）"/>
    <w:basedOn w:val="jafd"/>
    <w:rsid w:val="00204B65"/>
    <w:rPr>
      <w:rFonts w:ascii="Century" w:eastAsia="Century" w:hAnsi="Century" w:cs="Century"/>
    </w:rPr>
  </w:style>
  <w:style w:type="paragraph" w:customStyle="1" w:styleId="jafe">
    <w:name w:val="備考号細細分（ja）"/>
    <w:basedOn w:val="a"/>
    <w:rsid w:val="00204B65"/>
    <w:pPr>
      <w:widowControl w:val="0"/>
      <w:ind w:left="1319" w:hanging="439"/>
    </w:pPr>
    <w:rPr>
      <w:rFonts w:ascii="ＭＳ 明朝" w:eastAsia="ＭＳ 明朝" w:hAnsi="ＭＳ 明朝" w:cs="ＭＳ 明朝"/>
    </w:rPr>
  </w:style>
  <w:style w:type="paragraph" w:customStyle="1" w:styleId="enfe">
    <w:name w:val="備考号細細分（en）"/>
    <w:basedOn w:val="jafe"/>
    <w:rsid w:val="00204B65"/>
    <w:rPr>
      <w:rFonts w:ascii="Century" w:eastAsia="Century" w:hAnsi="Century" w:cs="Century"/>
    </w:rPr>
  </w:style>
  <w:style w:type="paragraph" w:customStyle="1" w:styleId="jaff">
    <w:name w:val="号細細細分（ja）"/>
    <w:basedOn w:val="a"/>
    <w:rsid w:val="00204B65"/>
    <w:pPr>
      <w:widowControl w:val="0"/>
      <w:ind w:left="1319" w:hanging="439"/>
    </w:pPr>
    <w:rPr>
      <w:rFonts w:ascii="ＭＳ 明朝" w:eastAsia="ＭＳ 明朝" w:hAnsi="ＭＳ 明朝" w:cs="ＭＳ 明朝"/>
    </w:rPr>
  </w:style>
  <w:style w:type="paragraph" w:customStyle="1" w:styleId="enff">
    <w:name w:val="号細細細分（en）"/>
    <w:basedOn w:val="jaff"/>
    <w:rsid w:val="00204B65"/>
    <w:rPr>
      <w:rFonts w:ascii="Century" w:eastAsia="Century" w:hAnsi="Century" w:cs="Century"/>
    </w:rPr>
  </w:style>
  <w:style w:type="paragraph" w:customStyle="1" w:styleId="jaff0">
    <w:name w:val="号細細細分　番号なし（ja）"/>
    <w:basedOn w:val="a"/>
    <w:rsid w:val="00204B65"/>
    <w:pPr>
      <w:widowControl w:val="0"/>
      <w:ind w:left="879"/>
    </w:pPr>
    <w:rPr>
      <w:rFonts w:ascii="ＭＳ 明朝" w:eastAsia="ＭＳ 明朝" w:hAnsi="ＭＳ 明朝" w:cs="ＭＳ 明朝"/>
    </w:rPr>
  </w:style>
  <w:style w:type="paragraph" w:customStyle="1" w:styleId="enff0">
    <w:name w:val="号細細細分　番号なし（en）"/>
    <w:basedOn w:val="jaff0"/>
    <w:rsid w:val="00204B65"/>
    <w:rPr>
      <w:rFonts w:ascii="Century" w:eastAsia="Century" w:hAnsi="Century" w:cs="Century"/>
    </w:rPr>
  </w:style>
  <w:style w:type="paragraph" w:customStyle="1" w:styleId="jaff1">
    <w:name w:val="備考号細細細分（ja）"/>
    <w:basedOn w:val="a"/>
    <w:rsid w:val="00204B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204B65"/>
    <w:rPr>
      <w:rFonts w:ascii="Century" w:eastAsia="Century" w:hAnsi="Century" w:cs="Century"/>
    </w:rPr>
  </w:style>
  <w:style w:type="paragraph" w:customStyle="1" w:styleId="jaff2">
    <w:name w:val="類（ja）"/>
    <w:basedOn w:val="a"/>
    <w:rsid w:val="00204B65"/>
    <w:pPr>
      <w:widowControl w:val="0"/>
      <w:ind w:left="439" w:hanging="219"/>
    </w:pPr>
    <w:rPr>
      <w:rFonts w:ascii="ＭＳ 明朝" w:eastAsia="ＭＳ 明朝" w:hAnsi="ＭＳ 明朝" w:cs="ＭＳ 明朝"/>
    </w:rPr>
  </w:style>
  <w:style w:type="paragraph" w:customStyle="1" w:styleId="enff2">
    <w:name w:val="類（en）"/>
    <w:basedOn w:val="jaff2"/>
    <w:rsid w:val="00204B65"/>
    <w:rPr>
      <w:rFonts w:ascii="Century" w:eastAsia="Century" w:hAnsi="Century" w:cs="Century"/>
    </w:rPr>
  </w:style>
  <w:style w:type="paragraph" w:customStyle="1" w:styleId="jaff3">
    <w:name w:val="公布文（ja）"/>
    <w:basedOn w:val="a"/>
    <w:rsid w:val="00204B65"/>
    <w:pPr>
      <w:widowControl w:val="0"/>
      <w:ind w:firstLine="219"/>
    </w:pPr>
    <w:rPr>
      <w:rFonts w:ascii="ＭＳ 明朝" w:eastAsia="ＭＳ 明朝" w:hAnsi="ＭＳ 明朝" w:cs="ＭＳ 明朝"/>
    </w:rPr>
  </w:style>
  <w:style w:type="paragraph" w:customStyle="1" w:styleId="enff3">
    <w:name w:val="公布文（en）"/>
    <w:basedOn w:val="jaff3"/>
    <w:rsid w:val="00204B65"/>
    <w:rPr>
      <w:rFonts w:ascii="Century" w:eastAsia="Century" w:hAnsi="Century" w:cs="Century"/>
    </w:rPr>
  </w:style>
  <w:style w:type="paragraph" w:customStyle="1" w:styleId="jaen">
    <w:name w:val="表（ja：en）"/>
    <w:basedOn w:val="a"/>
    <w:rsid w:val="00204B65"/>
    <w:pPr>
      <w:widowControl w:val="0"/>
      <w:snapToGrid w:val="0"/>
    </w:pPr>
    <w:rPr>
      <w:rFonts w:ascii="Century" w:eastAsia="ＭＳ 明朝" w:hAnsi="Century"/>
    </w:rPr>
  </w:style>
  <w:style w:type="paragraph" w:customStyle="1" w:styleId="jaff4">
    <w:name w:val="備考（ja）"/>
    <w:basedOn w:val="a"/>
    <w:rsid w:val="00204B65"/>
    <w:pPr>
      <w:widowControl w:val="0"/>
      <w:ind w:left="439" w:hanging="219"/>
    </w:pPr>
    <w:rPr>
      <w:rFonts w:ascii="ＭＳ 明朝" w:eastAsia="ＭＳ 明朝" w:hAnsi="ＭＳ 明朝" w:cs="ＭＳ 明朝"/>
    </w:rPr>
  </w:style>
  <w:style w:type="paragraph" w:customStyle="1" w:styleId="enff4">
    <w:name w:val="備考（en）"/>
    <w:basedOn w:val="jaff4"/>
    <w:rsid w:val="00204B65"/>
    <w:rPr>
      <w:rFonts w:ascii="Century" w:eastAsia="Century" w:hAnsi="Century" w:cs="Century"/>
    </w:rPr>
  </w:style>
  <w:style w:type="paragraph" w:customStyle="1" w:styleId="jaff5">
    <w:name w:val="表タイトル（ja）"/>
    <w:basedOn w:val="a"/>
    <w:rsid w:val="00204B65"/>
    <w:pPr>
      <w:widowControl w:val="0"/>
      <w:ind w:left="219"/>
    </w:pPr>
    <w:rPr>
      <w:rFonts w:ascii="ＭＳ 明朝" w:eastAsia="ＭＳ 明朝" w:hAnsi="ＭＳ 明朝" w:cs="ＭＳ 明朝"/>
    </w:rPr>
  </w:style>
  <w:style w:type="paragraph" w:customStyle="1" w:styleId="enff5">
    <w:name w:val="表タイトル（en）"/>
    <w:basedOn w:val="jaff5"/>
    <w:rsid w:val="00204B65"/>
    <w:rPr>
      <w:rFonts w:ascii="Century" w:eastAsia="Century" w:hAnsi="Century" w:cs="Century"/>
    </w:rPr>
  </w:style>
  <w:style w:type="paragraph" w:customStyle="1" w:styleId="jaff6">
    <w:name w:val="改正規定文（ja）"/>
    <w:basedOn w:val="a"/>
    <w:rsid w:val="00204B65"/>
    <w:pPr>
      <w:widowControl w:val="0"/>
      <w:ind w:left="219" w:firstLine="219"/>
    </w:pPr>
    <w:rPr>
      <w:rFonts w:ascii="ＭＳ 明朝" w:eastAsia="ＭＳ 明朝" w:hAnsi="ＭＳ 明朝" w:cs="ＭＳ 明朝"/>
    </w:rPr>
  </w:style>
  <w:style w:type="paragraph" w:customStyle="1" w:styleId="enff6">
    <w:name w:val="改正規定文（en）"/>
    <w:basedOn w:val="jaff6"/>
    <w:rsid w:val="00204B65"/>
    <w:rPr>
      <w:rFonts w:ascii="Century" w:eastAsia="Century" w:hAnsi="Century" w:cs="Century"/>
    </w:rPr>
  </w:style>
  <w:style w:type="paragraph" w:customStyle="1" w:styleId="jaff7">
    <w:name w:val="付記（ja）"/>
    <w:basedOn w:val="a"/>
    <w:rsid w:val="00204B65"/>
    <w:pPr>
      <w:widowControl w:val="0"/>
      <w:ind w:left="219" w:firstLine="219"/>
    </w:pPr>
    <w:rPr>
      <w:rFonts w:ascii="ＭＳ 明朝" w:eastAsia="ＭＳ 明朝" w:hAnsi="ＭＳ 明朝" w:cs="ＭＳ 明朝"/>
    </w:rPr>
  </w:style>
  <w:style w:type="paragraph" w:customStyle="1" w:styleId="enff7">
    <w:name w:val="付記（en）"/>
    <w:basedOn w:val="jaff7"/>
    <w:rsid w:val="00204B65"/>
    <w:rPr>
      <w:rFonts w:ascii="Century" w:eastAsia="Century" w:hAnsi="Century" w:cs="Century"/>
    </w:rPr>
  </w:style>
  <w:style w:type="paragraph" w:customStyle="1" w:styleId="jaff8">
    <w:name w:val="様式名（ja）"/>
    <w:basedOn w:val="a"/>
    <w:rsid w:val="00204B65"/>
    <w:pPr>
      <w:widowControl w:val="0"/>
      <w:ind w:left="439" w:hanging="219"/>
    </w:pPr>
    <w:rPr>
      <w:rFonts w:ascii="ＭＳ 明朝" w:eastAsia="ＭＳ 明朝" w:hAnsi="ＭＳ 明朝" w:cs="ＭＳ 明朝"/>
    </w:rPr>
  </w:style>
  <w:style w:type="paragraph" w:customStyle="1" w:styleId="enff8">
    <w:name w:val="様式名（en）"/>
    <w:basedOn w:val="jaff8"/>
    <w:rsid w:val="00204B65"/>
    <w:rPr>
      <w:rFonts w:ascii="Century" w:eastAsia="Century" w:hAnsi="Century" w:cs="Century"/>
    </w:rPr>
  </w:style>
  <w:style w:type="paragraph" w:customStyle="1" w:styleId="jaff9">
    <w:name w:val="様式項目（ja）"/>
    <w:basedOn w:val="a"/>
    <w:rsid w:val="00204B65"/>
    <w:pPr>
      <w:widowControl w:val="0"/>
      <w:ind w:left="221" w:firstLine="221"/>
    </w:pPr>
    <w:rPr>
      <w:rFonts w:ascii="ＭＳ 明朝" w:eastAsia="ＭＳ 明朝" w:hAnsi="ＭＳ 明朝" w:cs="ＭＳ 明朝"/>
    </w:rPr>
  </w:style>
  <w:style w:type="paragraph" w:customStyle="1" w:styleId="enff9">
    <w:name w:val="様式項目（en）"/>
    <w:basedOn w:val="jaff9"/>
    <w:rsid w:val="00204B65"/>
    <w:rPr>
      <w:rFonts w:ascii="Century" w:eastAsia="Century" w:hAnsi="Century" w:cs="Century"/>
    </w:rPr>
  </w:style>
  <w:style w:type="table" w:customStyle="1" w:styleId="1">
    <w:name w:val="表1"/>
    <w:rsid w:val="00204B65"/>
    <w:tblPr>
      <w:tblInd w:w="340" w:type="dxa"/>
      <w:tblCellMar>
        <w:top w:w="0" w:type="dxa"/>
        <w:left w:w="0" w:type="dxa"/>
        <w:bottom w:w="0" w:type="dxa"/>
        <w:right w:w="0" w:type="dxa"/>
      </w:tblCellMar>
    </w:tblPr>
  </w:style>
  <w:style w:type="numbering" w:customStyle="1" w:styleId="WW8Num1">
    <w:name w:val="WW8Num1"/>
    <w:rsid w:val="00204B65"/>
    <w:pPr>
      <w:numPr>
        <w:numId w:val="2"/>
      </w:numPr>
    </w:pPr>
  </w:style>
  <w:style w:type="numbering" w:customStyle="1" w:styleId="WW8Num2">
    <w:name w:val="WW8Num2"/>
    <w:rsid w:val="00204B65"/>
    <w:pPr>
      <w:numPr>
        <w:numId w:val="3"/>
      </w:numPr>
    </w:pPr>
  </w:style>
  <w:style w:type="numbering" w:customStyle="1" w:styleId="WW8Num3">
    <w:name w:val="WW8Num3"/>
    <w:rsid w:val="00204B65"/>
    <w:pPr>
      <w:numPr>
        <w:numId w:val="4"/>
      </w:numPr>
    </w:pPr>
  </w:style>
  <w:style w:type="numbering" w:customStyle="1" w:styleId="WW8Num4">
    <w:name w:val="WW8Num4"/>
    <w:rsid w:val="00204B65"/>
    <w:pPr>
      <w:numPr>
        <w:numId w:val="5"/>
      </w:numPr>
    </w:pPr>
  </w:style>
  <w:style w:type="numbering" w:customStyle="1" w:styleId="WW8Num5">
    <w:name w:val="WW8Num5"/>
    <w:rsid w:val="00204B65"/>
    <w:pPr>
      <w:numPr>
        <w:numId w:val="6"/>
      </w:numPr>
    </w:pPr>
  </w:style>
  <w:style w:type="numbering" w:customStyle="1" w:styleId="WW8Num6">
    <w:name w:val="WW8Num6"/>
    <w:rsid w:val="00204B65"/>
    <w:pPr>
      <w:numPr>
        <w:numId w:val="7"/>
      </w:numPr>
    </w:pPr>
  </w:style>
  <w:style w:type="numbering" w:customStyle="1" w:styleId="WW8Num7">
    <w:name w:val="WW8Num7"/>
    <w:rsid w:val="00204B65"/>
    <w:pPr>
      <w:numPr>
        <w:numId w:val="8"/>
      </w:numPr>
    </w:pPr>
  </w:style>
  <w:style w:type="numbering" w:customStyle="1" w:styleId="WW8Num8">
    <w:name w:val="WW8Num8"/>
    <w:rsid w:val="00204B65"/>
    <w:pPr>
      <w:numPr>
        <w:numId w:val="9"/>
      </w:numPr>
    </w:pPr>
  </w:style>
  <w:style w:type="numbering" w:customStyle="1" w:styleId="WW8Num9">
    <w:name w:val="WW8Num9"/>
    <w:rsid w:val="00204B65"/>
    <w:pPr>
      <w:numPr>
        <w:numId w:val="10"/>
      </w:numPr>
    </w:pPr>
  </w:style>
  <w:style w:type="numbering" w:customStyle="1" w:styleId="WW8Num10">
    <w:name w:val="WW8Num10"/>
    <w:rsid w:val="00204B65"/>
    <w:pPr>
      <w:numPr>
        <w:numId w:val="11"/>
      </w:numPr>
    </w:pPr>
  </w:style>
  <w:style w:type="numbering" w:customStyle="1" w:styleId="WW8Num11">
    <w:name w:val="WW8Num11"/>
    <w:rsid w:val="00204B65"/>
    <w:pPr>
      <w:numPr>
        <w:numId w:val="12"/>
      </w:numPr>
    </w:pPr>
  </w:style>
  <w:style w:type="numbering" w:customStyle="1" w:styleId="WW8Num12">
    <w:name w:val="WW8Num12"/>
    <w:rsid w:val="00204B6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10013</Words>
  <Characters>57080</Characters>
  <Application>Microsoft Office Word</Application>
  <DocSecurity>0</DocSecurity>
  <Lines>475</Lines>
  <Paragraphs>133</Paragraphs>
  <ScaleCrop>false</ScaleCrop>
  <Company/>
  <LinksUpToDate>false</LinksUpToDate>
  <CharactersWithSpaces>66960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2025-03-17T05:35:00Z</dcterms:created>
  <dcterms:modified xsi:type="dcterms:W3CDTF">2025-03-17T05:35:00Z</dcterms:modified>
</cp:coreProperties>
</file>