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00EE" w:rsidRDefault="00B368A0">
      <w:pPr>
        <w:pStyle w:val="en"/>
      </w:pPr>
      <w:r>
        <w:t>Order for Enforcement of the Commodity Derivatives Transaction Act (Tentative translation)</w:t>
      </w:r>
    </w:p>
    <w:p w:rsidR="00E600EE" w:rsidRDefault="00E600EE"/>
    <w:p w:rsidR="00E600EE" w:rsidRDefault="00B368A0">
      <w:pPr>
        <w:pStyle w:val="enf"/>
      </w:pPr>
      <w:r>
        <w:t>(Cabinet Order No. 280 of August 31, 1950)</w:t>
      </w:r>
    </w:p>
    <w:p w:rsidR="00E600EE" w:rsidRDefault="00E600EE"/>
    <w:p w:rsidR="00E600EE" w:rsidRDefault="00B368A0">
      <w:pPr>
        <w:pStyle w:val="ene"/>
      </w:pPr>
      <w:r>
        <w:t xml:space="preserve">The Cabinet hereby enacts this Cabinet Order based on the provisions of the Commodity Exchange Act (Act No. 239 of </w:t>
      </w:r>
      <w:r>
        <w:t>1950).</w:t>
      </w:r>
    </w:p>
    <w:p w:rsidR="00E600EE" w:rsidRDefault="00E600EE"/>
    <w:p w:rsidR="00E600EE" w:rsidRDefault="00B368A0">
      <w:pPr>
        <w:pStyle w:val="ena"/>
      </w:pPr>
      <w:r>
        <w:t>(Specification of Commodities)</w:t>
      </w:r>
    </w:p>
    <w:p w:rsidR="00E600EE" w:rsidRDefault="00B368A0">
      <w:pPr>
        <w:pStyle w:val="enf3"/>
      </w:pPr>
      <w:r>
        <w:t>Article 1  (1) The goods specified by Cabinet Order as stated in Article 2, paragraph (1), item (i) of the Commodity Derivatives Transaction Act (referred to below as the "Act") are the following goods:</w:t>
      </w:r>
    </w:p>
    <w:p w:rsidR="00E600EE" w:rsidRDefault="00B368A0">
      <w:pPr>
        <w:pStyle w:val="enf6"/>
      </w:pPr>
      <w:r>
        <w:t>(i) cattle</w:t>
      </w:r>
    </w:p>
    <w:p w:rsidR="00E600EE" w:rsidRDefault="00B368A0">
      <w:pPr>
        <w:pStyle w:val="enf6"/>
      </w:pPr>
      <w:r>
        <w:t>(ii) swine;</w:t>
      </w:r>
    </w:p>
    <w:p w:rsidR="00E600EE" w:rsidRDefault="00B368A0">
      <w:pPr>
        <w:pStyle w:val="enf6"/>
      </w:pPr>
      <w:r>
        <w:t>(iii) rapeseed;</w:t>
      </w:r>
    </w:p>
    <w:p w:rsidR="00E600EE" w:rsidRDefault="00B368A0">
      <w:pPr>
        <w:pStyle w:val="enf6"/>
      </w:pPr>
      <w:r>
        <w:t>(iv) flaxseed;</w:t>
      </w:r>
    </w:p>
    <w:p w:rsidR="00E600EE" w:rsidRDefault="00B368A0">
      <w:pPr>
        <w:pStyle w:val="enf6"/>
      </w:pPr>
      <w:r>
        <w:t>(v) wood;</w:t>
      </w:r>
    </w:p>
    <w:p w:rsidR="00E600EE" w:rsidRDefault="00B368A0">
      <w:pPr>
        <w:pStyle w:val="enf6"/>
      </w:pPr>
      <w:r>
        <w:t>(vi) natural rubber;</w:t>
      </w:r>
    </w:p>
    <w:p w:rsidR="00E600EE" w:rsidRDefault="00B368A0">
      <w:pPr>
        <w:pStyle w:val="enf6"/>
      </w:pPr>
      <w:r>
        <w:t>(vii) raw cotton;</w:t>
      </w:r>
    </w:p>
    <w:p w:rsidR="00E600EE" w:rsidRDefault="00B368A0">
      <w:pPr>
        <w:pStyle w:val="enf6"/>
      </w:pPr>
      <w:r>
        <w:t>(viii) cotton yarn;</w:t>
      </w:r>
    </w:p>
    <w:p w:rsidR="00E600EE" w:rsidRDefault="00B368A0">
      <w:pPr>
        <w:pStyle w:val="enf6"/>
      </w:pPr>
      <w:r>
        <w:t>(ix) dried cocoon;</w:t>
      </w:r>
    </w:p>
    <w:p w:rsidR="00E600EE" w:rsidRDefault="00B368A0">
      <w:pPr>
        <w:pStyle w:val="enf6"/>
      </w:pPr>
      <w:r>
        <w:t>(x) raw silk;</w:t>
      </w:r>
    </w:p>
    <w:p w:rsidR="00E600EE" w:rsidRDefault="00B368A0">
      <w:pPr>
        <w:pStyle w:val="enf6"/>
      </w:pPr>
      <w:r>
        <w:t>(xi) fleece;</w:t>
      </w:r>
    </w:p>
    <w:p w:rsidR="00E600EE" w:rsidRDefault="00B368A0">
      <w:pPr>
        <w:pStyle w:val="enf6"/>
      </w:pPr>
      <w:r>
        <w:t>(xii) wool yarn;</w:t>
      </w:r>
    </w:p>
    <w:p w:rsidR="00E600EE" w:rsidRDefault="00B368A0">
      <w:pPr>
        <w:pStyle w:val="enf6"/>
      </w:pPr>
      <w:r>
        <w:t>(xiii) staple-fiber yarn;</w:t>
      </w:r>
    </w:p>
    <w:p w:rsidR="00E600EE" w:rsidRDefault="00B368A0">
      <w:pPr>
        <w:pStyle w:val="enf6"/>
      </w:pPr>
      <w:r>
        <w:t>(xiv) feed.</w:t>
      </w:r>
    </w:p>
    <w:p w:rsidR="00E600EE" w:rsidRDefault="00B368A0">
      <w:pPr>
        <w:pStyle w:val="enf4"/>
      </w:pPr>
      <w:r>
        <w:t>(2) Minerals specified by Cabinet Order as stated in Article 2, paragraph (1), item (ii) of the Act are to be the following goods:</w:t>
      </w:r>
    </w:p>
    <w:p w:rsidR="00E600EE" w:rsidRDefault="00B368A0">
      <w:pPr>
        <w:pStyle w:val="enf6"/>
      </w:pPr>
      <w:r>
        <w:t>(i) lithium ore;</w:t>
      </w:r>
    </w:p>
    <w:p w:rsidR="00E600EE" w:rsidRDefault="00B368A0">
      <w:pPr>
        <w:pStyle w:val="enf6"/>
      </w:pPr>
      <w:r>
        <w:t>(ii) beryllium ore;</w:t>
      </w:r>
    </w:p>
    <w:p w:rsidR="00E600EE" w:rsidRDefault="00B368A0">
      <w:pPr>
        <w:pStyle w:val="enf6"/>
      </w:pPr>
      <w:r>
        <w:t>(iii) boron ore;</w:t>
      </w:r>
    </w:p>
    <w:p w:rsidR="00E600EE" w:rsidRDefault="00B368A0">
      <w:pPr>
        <w:pStyle w:val="enf6"/>
      </w:pPr>
      <w:r>
        <w:t>(iv) magnesium ore;</w:t>
      </w:r>
    </w:p>
    <w:p w:rsidR="00E600EE" w:rsidRDefault="00B368A0">
      <w:pPr>
        <w:pStyle w:val="enf6"/>
      </w:pPr>
      <w:r>
        <w:t>(v) aluminum ore;</w:t>
      </w:r>
    </w:p>
    <w:p w:rsidR="00E600EE" w:rsidRDefault="00B368A0">
      <w:pPr>
        <w:pStyle w:val="enf6"/>
      </w:pPr>
      <w:r>
        <w:t>(vi) titanium ore;</w:t>
      </w:r>
    </w:p>
    <w:p w:rsidR="00E600EE" w:rsidRDefault="00B368A0">
      <w:pPr>
        <w:pStyle w:val="enf6"/>
      </w:pPr>
      <w:r>
        <w:t>(vii) vanadium ore;</w:t>
      </w:r>
    </w:p>
    <w:p w:rsidR="00E600EE" w:rsidRDefault="00B368A0">
      <w:pPr>
        <w:pStyle w:val="enf6"/>
      </w:pPr>
      <w:r>
        <w:t>(viii) gallium ore;</w:t>
      </w:r>
    </w:p>
    <w:p w:rsidR="00E600EE" w:rsidRDefault="00B368A0">
      <w:pPr>
        <w:pStyle w:val="enf6"/>
      </w:pPr>
      <w:r>
        <w:t xml:space="preserve">(ix) </w:t>
      </w:r>
      <w:r>
        <w:t>germanium ore;</w:t>
      </w:r>
    </w:p>
    <w:p w:rsidR="00E600EE" w:rsidRDefault="00B368A0">
      <w:pPr>
        <w:pStyle w:val="enf6"/>
      </w:pPr>
      <w:r>
        <w:t>(x) selenium ore;</w:t>
      </w:r>
    </w:p>
    <w:p w:rsidR="00E600EE" w:rsidRDefault="00B368A0">
      <w:pPr>
        <w:pStyle w:val="enf6"/>
      </w:pPr>
      <w:r>
        <w:t>(xi) rubidium ore;</w:t>
      </w:r>
    </w:p>
    <w:p w:rsidR="00E600EE" w:rsidRDefault="00B368A0">
      <w:pPr>
        <w:pStyle w:val="enf6"/>
      </w:pPr>
      <w:r>
        <w:t>(xii) strontium ore;</w:t>
      </w:r>
    </w:p>
    <w:p w:rsidR="00E600EE" w:rsidRDefault="00B368A0">
      <w:pPr>
        <w:pStyle w:val="enf6"/>
      </w:pPr>
      <w:r>
        <w:lastRenderedPageBreak/>
        <w:t>(xiii) zirconium ore;</w:t>
      </w:r>
    </w:p>
    <w:p w:rsidR="00E600EE" w:rsidRDefault="00B368A0">
      <w:pPr>
        <w:pStyle w:val="enf6"/>
      </w:pPr>
      <w:r>
        <w:t>(xiv) niobium ore;</w:t>
      </w:r>
    </w:p>
    <w:p w:rsidR="00E600EE" w:rsidRDefault="00B368A0">
      <w:pPr>
        <w:pStyle w:val="enf6"/>
      </w:pPr>
      <w:r>
        <w:t>(xv) platinum ore;</w:t>
      </w:r>
    </w:p>
    <w:p w:rsidR="00E600EE" w:rsidRDefault="00B368A0">
      <w:pPr>
        <w:pStyle w:val="enf6"/>
      </w:pPr>
      <w:r>
        <w:t>(xvi) cadmium ore;</w:t>
      </w:r>
    </w:p>
    <w:p w:rsidR="00E600EE" w:rsidRDefault="00B368A0">
      <w:pPr>
        <w:pStyle w:val="enf6"/>
      </w:pPr>
      <w:r>
        <w:t>(xvii) indium ore;</w:t>
      </w:r>
    </w:p>
    <w:p w:rsidR="00E600EE" w:rsidRDefault="00B368A0">
      <w:pPr>
        <w:pStyle w:val="enf6"/>
      </w:pPr>
      <w:r>
        <w:t>(xviii) tellurium ore;</w:t>
      </w:r>
    </w:p>
    <w:p w:rsidR="00E600EE" w:rsidRDefault="00B368A0">
      <w:pPr>
        <w:pStyle w:val="enf6"/>
      </w:pPr>
      <w:r>
        <w:t>(xix) cesium ore;</w:t>
      </w:r>
    </w:p>
    <w:p w:rsidR="00E600EE" w:rsidRDefault="00B368A0">
      <w:pPr>
        <w:pStyle w:val="enf6"/>
      </w:pPr>
      <w:r>
        <w:t>(xx) barium ore;</w:t>
      </w:r>
    </w:p>
    <w:p w:rsidR="00E600EE" w:rsidRDefault="00B368A0">
      <w:pPr>
        <w:pStyle w:val="enf6"/>
      </w:pPr>
      <w:r>
        <w:t>(xxi) hafnium ore;</w:t>
      </w:r>
    </w:p>
    <w:p w:rsidR="00E600EE" w:rsidRDefault="00B368A0">
      <w:pPr>
        <w:pStyle w:val="enf6"/>
      </w:pPr>
      <w:r>
        <w:t>(xxii) tantalum ore;</w:t>
      </w:r>
    </w:p>
    <w:p w:rsidR="00E600EE" w:rsidRDefault="00B368A0">
      <w:pPr>
        <w:pStyle w:val="enf6"/>
      </w:pPr>
      <w:r>
        <w:t>(xxiii) rhenium ore;</w:t>
      </w:r>
    </w:p>
    <w:p w:rsidR="00E600EE" w:rsidRDefault="00B368A0">
      <w:pPr>
        <w:pStyle w:val="enf6"/>
      </w:pPr>
      <w:r>
        <w:t>(xxiv) thallium ore;</w:t>
      </w:r>
    </w:p>
    <w:p w:rsidR="00E600EE" w:rsidRDefault="00B368A0">
      <w:pPr>
        <w:pStyle w:val="enf6"/>
      </w:pPr>
      <w:r>
        <w:t>(xxv) precious stone;</w:t>
      </w:r>
    </w:p>
    <w:p w:rsidR="00E600EE" w:rsidRDefault="00B368A0">
      <w:pPr>
        <w:pStyle w:val="enf6"/>
      </w:pPr>
      <w:r>
        <w:t>(xxvi) semiprecious stone;</w:t>
      </w:r>
    </w:p>
    <w:p w:rsidR="00E600EE" w:rsidRDefault="00B368A0">
      <w:pPr>
        <w:pStyle w:val="enf6"/>
      </w:pPr>
      <w:r>
        <w:t>(xxvii) bentonite;</w:t>
      </w:r>
    </w:p>
    <w:p w:rsidR="00E600EE" w:rsidRDefault="00B368A0">
      <w:pPr>
        <w:pStyle w:val="enf6"/>
      </w:pPr>
      <w:r>
        <w:t>(xxviii) acid clay;</w:t>
      </w:r>
    </w:p>
    <w:p w:rsidR="00E600EE" w:rsidRDefault="00B368A0">
      <w:pPr>
        <w:pStyle w:val="enf6"/>
      </w:pPr>
      <w:r>
        <w:t>(xxix) diatomaceous earth;</w:t>
      </w:r>
    </w:p>
    <w:p w:rsidR="00E600EE" w:rsidRDefault="00B368A0">
      <w:pPr>
        <w:pStyle w:val="enf6"/>
      </w:pPr>
      <w:r>
        <w:t>(xxx) pottery stone;</w:t>
      </w:r>
    </w:p>
    <w:p w:rsidR="00E600EE" w:rsidRDefault="00B368A0">
      <w:pPr>
        <w:pStyle w:val="enf6"/>
      </w:pPr>
      <w:r>
        <w:t>(xxxi) mica; and</w:t>
      </w:r>
    </w:p>
    <w:p w:rsidR="00E600EE" w:rsidRDefault="00B368A0">
      <w:pPr>
        <w:pStyle w:val="enf6"/>
      </w:pPr>
      <w:r>
        <w:t>(xxxii) vermiculite.</w:t>
      </w:r>
    </w:p>
    <w:p w:rsidR="00E600EE" w:rsidRDefault="00E600EE"/>
    <w:p w:rsidR="00E600EE" w:rsidRDefault="00B368A0">
      <w:pPr>
        <w:pStyle w:val="ena"/>
      </w:pPr>
      <w:r>
        <w:t xml:space="preserve">(Exclusions from </w:t>
      </w:r>
      <w:r>
        <w:t>Application in Commodity Derivatives Business)</w:t>
      </w:r>
    </w:p>
    <w:p w:rsidR="00E600EE" w:rsidRDefault="00B368A0">
      <w:pPr>
        <w:pStyle w:val="enf3"/>
      </w:pPr>
      <w:r>
        <w:t>Article 2  The acts specified by Cabinet Order as stated in Article 2, paragraph (22) of the Act are the following acts:</w:t>
      </w:r>
    </w:p>
    <w:p w:rsidR="00E600EE" w:rsidRDefault="00B368A0">
      <w:pPr>
        <w:pStyle w:val="enf6"/>
      </w:pPr>
      <w:r>
        <w:t xml:space="preserve">(i) acts listed in the respective items of Article 2, paragraph (22) of the Act, </w:t>
      </w:r>
      <w:r>
        <w:t>performed by the following entities:</w:t>
      </w:r>
    </w:p>
    <w:p w:rsidR="00E600EE" w:rsidRDefault="00B368A0">
      <w:pPr>
        <w:pStyle w:val="enf9"/>
      </w:pPr>
      <w:r>
        <w:t>(a) the national government of Japan;</w:t>
      </w:r>
    </w:p>
    <w:p w:rsidR="00E600EE" w:rsidRDefault="00B368A0">
      <w:pPr>
        <w:pStyle w:val="enf9"/>
      </w:pPr>
      <w:r>
        <w:t>(b) local governments;</w:t>
      </w:r>
    </w:p>
    <w:p w:rsidR="00E600EE" w:rsidRDefault="00B368A0">
      <w:pPr>
        <w:pStyle w:val="enf9"/>
      </w:pPr>
      <w:r>
        <w:t>(c) foreign governments and other entities equivalent under foreign laws and regulations to entities listed in (a) and (b);</w:t>
      </w:r>
    </w:p>
    <w:p w:rsidR="00E600EE" w:rsidRDefault="00B368A0">
      <w:pPr>
        <w:pStyle w:val="enf6"/>
      </w:pPr>
      <w:r>
        <w:t>(ii) for a foreign commodity derivatives broker (meaning an entity, other than a commodity derivatives broker, engaged in the acts stated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Regulations of Commodity Investment (Ac</w:t>
      </w:r>
      <w:r>
        <w:t xml:space="preserve">t No. 66 of 1991) (referred to as "commodities investment advisors" in Article 41, item (iii)) or other entities prescribed by order of the competent ministry) without soliciting the acts stated in items (i) and (ii) of that paragraph, the acts stated in those items they perform from abroad on behalf of those entities in Japan (limited </w:t>
      </w:r>
      <w:r>
        <w:lastRenderedPageBreak/>
        <w:t>to acts for performing intermediation prescribed in those items, and excluding those that fall under the acts stated in the preceding item);</w:t>
      </w:r>
    </w:p>
    <w:p w:rsidR="00E600EE" w:rsidRDefault="00B368A0">
      <w:pPr>
        <w:pStyle w:val="enf6"/>
      </w:pPr>
      <w:r>
        <w:t>(iii) acts stated in Article 2, paragraph (22), item (iii) or (iv) of the Act with an entity prescribed by order of the competent ministry as one with high-level capabilities for foreign commodity market transactions as a counterpart, or acts performed on behalf of that entity (excluding those falling under acts stated in item (i));</w:t>
      </w:r>
    </w:p>
    <w:p w:rsidR="00E600EE" w:rsidRDefault="00B368A0">
      <w:pPr>
        <w:pStyle w:val="enf6"/>
      </w:pPr>
      <w:r>
        <w:t>(iv) acts stated in Article 2, paragraph (22), items (iii) through (v) of the Act performed by a foreign commodity derivatives broker from a foreign country with an entity in Japan as the counterpart (excluding entities that are individuals) through agency or brokerage without solicitation of the acts stated in those items (excluding the acts of performing intermediation, brokerage, or act as an agent stated in those items, and those that fall under acts stated in item (i) and the preceding item); and;</w:t>
      </w:r>
    </w:p>
    <w:p w:rsidR="00E600EE" w:rsidRDefault="00B368A0">
      <w:pPr>
        <w:pStyle w:val="enf6"/>
      </w:pPr>
      <w:r>
        <w:t>(v) acts stated in Article 2, paragraph (22), item (v) of the Act with an entity prescribed by order of the competent ministry as an entity with a close personal relationship or a close capital relationship as a counterpart, or acts performed on behalf of the entity (excluding those that fall under acts stated in item (i) and the preceding item).</w:t>
      </w:r>
    </w:p>
    <w:p w:rsidR="00E600EE" w:rsidRDefault="00E600EE"/>
    <w:p w:rsidR="00E600EE" w:rsidRDefault="00B368A0">
      <w:pPr>
        <w:pStyle w:val="ena"/>
      </w:pPr>
      <w:r>
        <w:t>(Provision Utilizing Information Communication Technology Relating to Application for Membership)</w:t>
      </w:r>
    </w:p>
    <w:p w:rsidR="00E600EE" w:rsidRDefault="00B368A0">
      <w:pPr>
        <w:pStyle w:val="enf3"/>
      </w:pPr>
      <w:r>
        <w:t>Article 3  (1) A person that seeks to provide matters prescribed in the following provisions by electronic or magnetic means (meaning the electronic or magnetic means prescribed in Article 12, paragraph (4) of the Act; the same applies below in this Article and Article 5) (the person is referred to as a "provider" in the following paragraph) must inform the counterpart to whom the matters are to be provided of the type and content of the electronic or magnetic means that the person seeks to use and obtain t</w:t>
      </w:r>
      <w:r>
        <w:t>hat party's consent in writing or by electronic or magnetic means in advance, pursuant to the provisions of order of the competent ministry:</w:t>
      </w:r>
    </w:p>
    <w:p w:rsidR="00E600EE" w:rsidRDefault="00B368A0">
      <w:pPr>
        <w:pStyle w:val="enf6"/>
      </w:pPr>
      <w:r>
        <w:t>(i) the provisions of Article 12, paragraph (4) of the Act; or</w:t>
      </w:r>
    </w:p>
    <w:p w:rsidR="00E600EE" w:rsidRDefault="00B368A0">
      <w:pPr>
        <w:pStyle w:val="enf6"/>
      </w:pPr>
      <w:r>
        <w:t>(ii) the provisions of Article 130, paragraph (3) of the Act.</w:t>
      </w:r>
    </w:p>
    <w:p w:rsidR="00E600EE" w:rsidRDefault="00B368A0">
      <w:pPr>
        <w:pStyle w:val="enf4"/>
      </w:pPr>
      <w:r>
        <w:t>(2) A provider that has obtained the consent under the provisions of the preceding paragraph must not provide the matters to the counterpart by electronic or magnetic means when the counterpart referred to in that paragraph has requested in writing or by electronic or magnetic means that they will not accept provision of matters by electronic or magnetic means; provided, however, that this does not apply when the counterpart has given consent under that paragraph at another time.</w:t>
      </w:r>
    </w:p>
    <w:p w:rsidR="00E600EE" w:rsidRDefault="00E600EE"/>
    <w:p w:rsidR="00E600EE" w:rsidRDefault="00B368A0">
      <w:pPr>
        <w:pStyle w:val="ena"/>
      </w:pPr>
      <w:r>
        <w:t>(Criteria for License for Establishment)</w:t>
      </w:r>
    </w:p>
    <w:p w:rsidR="00E600EE" w:rsidRDefault="00B368A0">
      <w:pPr>
        <w:pStyle w:val="enf3"/>
      </w:pPr>
      <w:r>
        <w:t>Article 4  (1) The criteria specified by Cabinet Order as referred to in Article 15, paragraph (1), item (ii) of the Act is that a majority of the persons that seek to become members of a commodity market related to a listed commodity and in the course of trade have engaged in the purchase and sale, etc. of the listed commodity component products related to the listed commodity for one year or more on a continuous basis are persons that are engaging in the purchase and sale, etc. of the majority of the type</w:t>
      </w:r>
      <w:r>
        <w:t>s of listed commodity in the course of trade.</w:t>
      </w:r>
    </w:p>
    <w:p w:rsidR="00E600EE" w:rsidRDefault="00B368A0">
      <w:pPr>
        <w:pStyle w:val="enf4"/>
      </w:pPr>
      <w:r>
        <w:t>(2) The provisions of the preceding paragraph apply mutatis mutandis to criteria specified by Cabinet Order as referred to in Article 80, paragraph (1), item (iv) of the Act. In this case, the term "member" in the preceding paragraph is deemed to be replaced with "trading participant".</w:t>
      </w:r>
    </w:p>
    <w:p w:rsidR="00E600EE" w:rsidRDefault="00B368A0">
      <w:pPr>
        <w:pStyle w:val="enf4"/>
      </w:pPr>
      <w:r>
        <w:t>(3) The provisions of paragraph (1) apply mutatis mutandis to criteria specified by Cabinet Order as referred to in Article 146, paragraph (1), item (iii) of the Act. In this case, the term "member" in paragraph (1) is deemed to be replaced with "member, etc."</w:t>
      </w:r>
    </w:p>
    <w:p w:rsidR="00E600EE" w:rsidRDefault="00E600EE"/>
    <w:p w:rsidR="00E600EE" w:rsidRDefault="00B368A0">
      <w:pPr>
        <w:pStyle w:val="ena"/>
      </w:pPr>
      <w:r>
        <w:t>(Electronic or Magnetic Means of Providing Notices of Calling of General Meetings of Members)</w:t>
      </w:r>
    </w:p>
    <w:p w:rsidR="00E600EE" w:rsidRDefault="00B368A0">
      <w:pPr>
        <w:pStyle w:val="enf3"/>
      </w:pPr>
      <w:r>
        <w:t>Article 5  (1) When a person that calls a general meeting of members seeks to issue a notice of calling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E600EE" w:rsidRDefault="00B368A0">
      <w:pPr>
        <w:pStyle w:val="enf4"/>
      </w:pPr>
      <w:r>
        <w:t>(2) If a member has requested in writing or by electronic or magnetic means that they will not accept a notice of calling by electronic or magnetic means, a person who convenes a general meeting of members that has obtained the consent under the provisions of the preceding paragraph may not issue a notice of calling by electronic or magnetic means to that member; provided, however, that this does not apply when the member has given their consent under that paragraph at another time.</w:t>
      </w:r>
    </w:p>
    <w:p w:rsidR="00E600EE" w:rsidRDefault="00E600EE"/>
    <w:p w:rsidR="00E600EE" w:rsidRDefault="00B368A0">
      <w:pPr>
        <w:pStyle w:val="ena"/>
      </w:pPr>
      <w:r>
        <w:t>(Deemed Replacement of Terms of the Provisions of the Act and the Companies Act as Applied Mutatis Mutandis to Liquidators of Member Commodity Exchanges)</w:t>
      </w:r>
    </w:p>
    <w:p w:rsidR="00E600EE" w:rsidRDefault="00B368A0">
      <w:pPr>
        <w:pStyle w:val="enf3"/>
      </w:pPr>
      <w:r>
        <w:t>Article 6  (1) When the provisions of Article 55, paragraph (1) of the Act are applied mutatis mutandis to a liquidator of a member commodity exchange pursuant to the provisions of Article 77, paragraph (2) of the Act, the term "of an officer" in that paragraph is deemed to be replaced with "of an officer or a liquidator".</w:t>
      </w:r>
    </w:p>
    <w:p w:rsidR="00E600EE" w:rsidRDefault="00B368A0">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E600EE" w:rsidRDefault="00E600EE"/>
    <w:p w:rsidR="00E600EE" w:rsidRDefault="00B368A0">
      <w:pPr>
        <w:pStyle w:val="ena"/>
      </w:pPr>
      <w:r>
        <w:t>(Amount of Minimum Capital for Incorporated Commodity Exchanges)</w:t>
      </w:r>
    </w:p>
    <w:p w:rsidR="00E600EE" w:rsidRDefault="00B368A0">
      <w:pPr>
        <w:pStyle w:val="enf3"/>
      </w:pPr>
      <w:r>
        <w:t xml:space="preserve">Article 7  The amount specified by Cabinet Order as referred to in </w:t>
      </w:r>
      <w:r>
        <w:t>Article 80, paragraph (1), item (i) of the Act is 1 billion yen.</w:t>
      </w:r>
    </w:p>
    <w:p w:rsidR="00E600EE" w:rsidRDefault="00E600EE"/>
    <w:p w:rsidR="00E600EE" w:rsidRDefault="00B368A0">
      <w:pPr>
        <w:pStyle w:val="ena"/>
      </w:pPr>
      <w:r>
        <w:t>(Exclusion of Limitation on the Holdings of Voting Rights)</w:t>
      </w:r>
    </w:p>
    <w:p w:rsidR="00E600EE" w:rsidRDefault="00B368A0">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E600EE" w:rsidRDefault="00B368A0">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E600EE" w:rsidRDefault="00E600EE"/>
    <w:p w:rsidR="00E600EE" w:rsidRDefault="00B368A0">
      <w:pPr>
        <w:pStyle w:val="ena"/>
      </w:pPr>
      <w:r>
        <w:t>(Special Relationship Specified by Cabinet Order as Referred to in Article 86, Paragraph (5), Item (ii) of the Act)</w:t>
      </w:r>
    </w:p>
    <w:p w:rsidR="00E600EE" w:rsidRDefault="00B368A0">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E600EE" w:rsidRDefault="00B368A0">
      <w:pPr>
        <w:pStyle w:val="enf6"/>
      </w:pPr>
      <w:r>
        <w:t>(i) the relationship of persons that have jointly acquired or hold subject voting rights of an incorporated commodity exchange (meaning the subject voting rights prescribed in the main clause of Article 86, paragraph (1); the same applies below), or have agreed to exercise subject voting rights of the incorporated commodity exchange (the persons are referred to below as "joint holders" in this Article) (when one of the joint holders is a commodity exchange (meaning a commodity exchange, etc. (a commodity ex</w:t>
      </w:r>
      <w:r>
        <w:t>change, a commodity exchange holding company, a financial instruments exchange or a financial instruments exchange holding company referred to in the main clause of Article 86, paragraph (1); the same applies below), the relationship between the commodity exchange, etc. and other joint holders is excluded);</w:t>
      </w:r>
    </w:p>
    <w:p w:rsidR="00E600EE" w:rsidRDefault="00B368A0">
      <w:pPr>
        <w:pStyle w:val="enf6"/>
      </w:pPr>
      <w:r>
        <w:t>(ii) the relationship of husband and wife;</w:t>
      </w:r>
    </w:p>
    <w:p w:rsidR="00E600EE" w:rsidRDefault="00B368A0">
      <w:pPr>
        <w:pStyle w:val="enf6"/>
      </w:pPr>
      <w:r>
        <w:t>(iii) the relationship between a person that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w:t>
      </w:r>
      <w:r>
        <w:t>ares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below) of all shareholders (meaning all shareholde</w:t>
      </w:r>
      <w:r>
        <w:t>rs, all members, or all contributors; the same applies below) of a corporation (the person is referred to below as a "controlling shareholder, etc. " in this Article) and the corporation (referred to below as a "controlled corporation" in this Article ) (if any controlling shareholder, etc. or controlled corporation is a commodity exchange, etc., excluding the relationship between the commodity exchange and its controlling shareholder, etc. or controlled corporation); or</w:t>
      </w:r>
    </w:p>
    <w:p w:rsidR="00E600EE" w:rsidRDefault="00B368A0">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E600EE" w:rsidRDefault="00B368A0">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E600EE" w:rsidRDefault="00B368A0">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E600EE" w:rsidRDefault="00B368A0">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E600EE" w:rsidRDefault="00B368A0">
      <w:pPr>
        <w:pStyle w:val="enf4"/>
      </w:pPr>
      <w:r>
        <w:t>(5) In the cases stated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w:t>
      </w:r>
      <w:r>
        <w:t>1) and Article 276 (limited to the part related to item (ii)) of that Act):</w:t>
      </w:r>
    </w:p>
    <w:p w:rsidR="00E600EE" w:rsidRDefault="00B368A0">
      <w:pPr>
        <w:pStyle w:val="enf6"/>
      </w:pPr>
      <w:r>
        <w:t>(i) the case referred to in paragraph (2): the joint holders;</w:t>
      </w:r>
    </w:p>
    <w:p w:rsidR="00E600EE" w:rsidRDefault="00B368A0">
      <w:pPr>
        <w:pStyle w:val="enf6"/>
      </w:pPr>
      <w:r>
        <w:t>(ii) the case referred to in paragraph (3): the husband and wife; or</w:t>
      </w:r>
    </w:p>
    <w:p w:rsidR="00E600EE" w:rsidRDefault="00B368A0">
      <w:pPr>
        <w:pStyle w:val="enf6"/>
      </w:pPr>
      <w:r>
        <w:t>(iii) the case referred to in the preceding paragraph: the controlling shareholders, etc. and their controlled corporation.</w:t>
      </w:r>
    </w:p>
    <w:p w:rsidR="00E600EE" w:rsidRDefault="00E600EE"/>
    <w:p w:rsidR="00E600EE" w:rsidRDefault="00B368A0">
      <w:pPr>
        <w:pStyle w:val="ena"/>
      </w:pPr>
      <w:r>
        <w:t>(Deemed Replacement of Terms of the Provisions of the Companies Act as Applied Mutatis Mutandis to Petitions for the Selection of Persons to Temporarily Perform the Duties of Members of Self-Regulating Committees)</w:t>
      </w:r>
    </w:p>
    <w:p w:rsidR="00E600EE" w:rsidRDefault="00B368A0">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a self-regulating committee under the provisions of Article 96-5, paragraph (4) pursuant to the provisions of paragraph (6) of that Article of the Act, the technical replacement of terms concerning the provisions of the</w:t>
      </w:r>
      <w:r>
        <w:t xml:space="preserve"> Companies Act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E600E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Companies Act Whose Terms Are to BeReplaced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to Be Replaced with</w:t>
            </w:r>
          </w:p>
        </w:tc>
      </w:tr>
      <w:tr w:rsidR="00E600EE">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E600EE" w:rsidRDefault="00B368A0">
            <w:pPr>
              <w:pStyle w:val="jaen"/>
            </w:pP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or Article 401, paragraph (3)</w:t>
            </w:r>
          </w:p>
        </w:tc>
      </w:tr>
      <w:tr w:rsidR="00E600EE">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E600EE" w:rsidRDefault="00B368A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 person who is to temporarily perform the duties of a company director (for a company with an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representa</w:t>
            </w:r>
            <w:r>
              <w:t>tive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A</w:t>
            </w:r>
            <w:r>
              <w:t>rticle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 person who temporarily performs the duties of a member of a self-regulatory committee</w:t>
            </w:r>
          </w:p>
        </w:tc>
      </w:tr>
      <w:tr w:rsidR="00E600EE">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 person who is </w:t>
            </w:r>
            <w:r>
              <w:t xml:space="preserve">to temporarily perform the duties of a company director, 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paragraph (1) (including </w:t>
            </w:r>
            <w:r>
              <w:t>as applied mutatis mutandis pursuant to Article 822, paragraph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 person who is to temporarily perform the duties of a member of the Self-Regulating Committee</w:t>
            </w:r>
          </w:p>
        </w:tc>
      </w:tr>
      <w:tr w:rsidR="00E600EE">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appointment</w:t>
            </w:r>
          </w:p>
        </w:tc>
      </w:tr>
    </w:tbl>
    <w:p w:rsidR="00E600EE" w:rsidRDefault="00E600EE"/>
    <w:p w:rsidR="00E600EE" w:rsidRDefault="00B368A0">
      <w:pPr>
        <w:pStyle w:val="ena"/>
      </w:pPr>
      <w:r>
        <w:t>(Persons Who May Acquire or Hold the Subject Voting Rights Not Less Than the Holding Ratio Threshold but Not More Than 50 Percent of the Holding Ratio Threshold of the Voting Rights of All Shareholders of Incorporated Commodity Exchanges)</w:t>
      </w:r>
    </w:p>
    <w:p w:rsidR="00E600EE" w:rsidRDefault="00B368A0">
      <w:pPr>
        <w:pStyle w:val="enf3"/>
      </w:pPr>
      <w:r>
        <w:t>Article 11  The persons specified by Cabinet Order as referred to in Article 96-19, paragraph (1) of the Act are the following persons:</w:t>
      </w:r>
    </w:p>
    <w:p w:rsidR="00E600EE" w:rsidRDefault="00B368A0">
      <w:pPr>
        <w:pStyle w:val="enf6"/>
      </w:pPr>
      <w:r>
        <w:t>(i) a local government;</w:t>
      </w:r>
    </w:p>
    <w:p w:rsidR="00E600EE" w:rsidRDefault="00B368A0">
      <w:pPr>
        <w:pStyle w:val="enf6"/>
      </w:pPr>
      <w:r>
        <w:t xml:space="preserve">(ii) a person that establishes a foreign commodity market (referred to as a "foreign </w:t>
      </w:r>
      <w:r>
        <w:t>commodity market establisher" in the following item) and satisfies all of the following requirements:</w:t>
      </w:r>
    </w:p>
    <w:p w:rsidR="00E600EE" w:rsidRDefault="00B368A0">
      <w:pPr>
        <w:pStyle w:val="enf9"/>
      </w:pPr>
      <w:r>
        <w:t>(a) the same type of license as a license under Article 9 or Article 78 of the Act or authorization similar to them, or other administrative disposition has been obtained in the country where its head office or principal office is located;</w:t>
      </w:r>
    </w:p>
    <w:p w:rsidR="00E600EE" w:rsidRDefault="00B368A0">
      <w:pPr>
        <w:pStyle w:val="enf9"/>
      </w:pPr>
      <w:r>
        <w:t>(b) the authority responsible for enforcing the laws and regulations of the foreign country where its head office or principal office is located, which are equivalent to the Act (including orders based on the Act; the same applies below in (b)) has guaranteed that it will comply if Japan requests cooperation concerning an administrative investigation conducted for the enforcement of the Act;</w:t>
      </w:r>
    </w:p>
    <w:p w:rsidR="00E600EE" w:rsidRDefault="00B368A0">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the commodity exchange, etc. (meaning a subsidiary company prescribed in Article 3-2, paragraph (3) of the Act; the same applies below in this Article);</w:t>
      </w:r>
    </w:p>
    <w:p w:rsidR="00E600EE" w:rsidRDefault="00B368A0">
      <w:pPr>
        <w:pStyle w:val="enf6"/>
      </w:pPr>
      <w:r>
        <w:t>(iii) a person that has a foreign commodity market establisher as a subsidiary company (excluding the person stated in the preceding item; referred to below as a "foreign commodity market establisher holding company" in this item), and satisfies all of the following requirements:</w:t>
      </w:r>
    </w:p>
    <w:p w:rsidR="00E600EE" w:rsidRDefault="00B368A0">
      <w:pPr>
        <w:pStyle w:val="enf9"/>
      </w:pPr>
      <w:r>
        <w:t>(a) the authority responsible for enforcing the laws and regulations of the foreign country where its head office or principal office is located, which are equivalent to the Act (including orders based on the Act; the same applies below in (b) ), has granted the same type of authorization as the authorization under Article 96-25, paragraph (1) or other similar permission, or performed other acts concerning the fact that the person is a foreign commodity market establisher holding company;</w:t>
      </w:r>
    </w:p>
    <w:p w:rsidR="00E600EE" w:rsidRDefault="00B368A0">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E600EE" w:rsidRDefault="00B368A0">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50 percent or less of the voting rights of all shareholders is a subsidiary company of the commodity exchange, etc.;</w:t>
      </w:r>
    </w:p>
    <w:p w:rsidR="00E600EE" w:rsidRDefault="00B368A0">
      <w:pPr>
        <w:pStyle w:val="enf6"/>
      </w:pPr>
      <w:r>
        <w:t>(iv) a person that is an establisher of a foreign financial instruments exchange market (meaning an establisher of a foreign financial instruments exchange market prescribed in Article 60-2, paragraph (1), item (vii) of the Financial Instruments and Exchange Act; the same applies below in the following item) that satisfies all of the following requirements:</w:t>
      </w:r>
    </w:p>
    <w:p w:rsidR="00E600EE" w:rsidRDefault="00B368A0">
      <w:pPr>
        <w:pStyle w:val="enf9"/>
      </w:pPr>
      <w:r>
        <w:t>(a) the person has obtained the same kind of license as the one under Article 80, paragraph (1) of the Financial Instruments and Exchange Act or a similar license or other administrative disposition in the country where its head office or principal office is located;</w:t>
      </w:r>
    </w:p>
    <w:p w:rsidR="00E600EE" w:rsidRDefault="00B368A0">
      <w:pPr>
        <w:pStyle w:val="enf9"/>
      </w:pPr>
      <w:r>
        <w:t>(b) the authority responsible for enforcing the laws and 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the same applies below in (b) of the following item);</w:t>
      </w:r>
    </w:p>
    <w:p w:rsidR="00E600EE" w:rsidRDefault="00B368A0">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E600EE" w:rsidRDefault="00B368A0">
      <w:pPr>
        <w:pStyle w:val="enf6"/>
      </w:pPr>
      <w:r>
        <w:t>(v) a person who is a foreign financial instruments exchange market establisher holding company (meaning a person other than a person that has an establisher of a foreign financial instruments exchange market as a subsidiary company and is stated in the preceding item; the same applies below in this item) that satisfies all of the following requirements:</w:t>
      </w:r>
    </w:p>
    <w:p w:rsidR="00E600EE" w:rsidRDefault="00B368A0">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one under Article 106-10, paragraph (1) of the Financial Instruments and Exchange Act or a similar license, or performed other acts concerning the fact that the person is a foreign financial instruments exc</w:t>
      </w:r>
      <w:r>
        <w:t>hange market establisher holding company;</w:t>
      </w:r>
    </w:p>
    <w:p w:rsidR="00E600EE" w:rsidRDefault="00B368A0">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 and</w:t>
      </w:r>
    </w:p>
    <w:p w:rsidR="00E600EE" w:rsidRDefault="00B368A0">
      <w:pPr>
        <w:pStyle w:val="enf9"/>
      </w:pPr>
      <w:r>
        <w:t>(c) the incorporated commodity exchange of which the person, having received the authorization under Article 96-19, paragraph (1) of the Act, seeks to acquire or hold subject voting rights of a number greater than the holding ratio threshold but 50 percent or less of the voting rights of all shareholders is a subsidiary company of the commodity exchange, etc.</w:t>
      </w:r>
    </w:p>
    <w:p w:rsidR="00E600EE" w:rsidRDefault="00E600EE"/>
    <w:p w:rsidR="00E600EE" w:rsidRDefault="00B368A0">
      <w:pPr>
        <w:pStyle w:val="ena"/>
      </w:pPr>
      <w:r>
        <w:t>(Special Relationship Specified by Cabinet Order as Referred to in Article 86, Paragraph (5), Item (ii) of the Act as Applied Mutatis Mutandis Pursuant to Article 96-42 of the Act)</w:t>
      </w:r>
    </w:p>
    <w:p w:rsidR="00E600EE" w:rsidRDefault="00B368A0">
      <w:pPr>
        <w:pStyle w:val="enf3"/>
      </w:pPr>
      <w:r>
        <w:t>Article 12  (1) The special relationship specified by of Cabinet Order as referred to in Article 86, paragraph (5), item (ii) of the Act as applied mutatis mutandis pursuant to Article 96-42 of the Act are the following relationships:</w:t>
      </w:r>
    </w:p>
    <w:p w:rsidR="00E600EE" w:rsidRDefault="00B368A0">
      <w:pPr>
        <w:pStyle w:val="enf6"/>
      </w:pPr>
      <w:r>
        <w:t>(i) the relationship of persons who have agreed to jointly acquire or hold the subject voting rights of an incorporated commodity exchange or a commodity exchange holding company, or to exercise the subject voting rights of the incorporated commodity exchange or the commodity exchange holding company (referred to below as "joint holders" in this Article) (if any of the joint holders is a commodity exchange, etc., excluding the relationship between the commodity exchange, etc. and other joint holders);</w:t>
      </w:r>
    </w:p>
    <w:p w:rsidR="00E600EE" w:rsidRDefault="00B368A0">
      <w:pPr>
        <w:pStyle w:val="enf6"/>
      </w:pPr>
      <w:r>
        <w:t>(ii) the relationship of husband and wife;</w:t>
      </w:r>
    </w:p>
    <w:p w:rsidR="00E600EE" w:rsidRDefault="00B368A0">
      <w:pPr>
        <w:pStyle w:val="enf6"/>
      </w:pPr>
      <w:r>
        <w:t>(iii) the relationship between a person that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w:t>
      </w:r>
      <w:r>
        <w:t xml:space="preserve"> (1), Article 239, paragraph (1) and Article 276 (limited to the part related to item (ii)) of that Act) (referred to below as "controlling shareholder, etc." in this Article) and the corporation (referred to as "controlled corporation" in this Article below) (if the controlling shareholder, etc. or the controlled corporation is a commodity exchange, etc., excluding the relationship between the commodity exchange, etc. and its controlling shareholder, etc. or controlled corporation); or</w:t>
      </w:r>
    </w:p>
    <w:p w:rsidR="00E600EE" w:rsidRDefault="00B368A0">
      <w:pPr>
        <w:pStyle w:val="enf6"/>
      </w:pPr>
      <w:r>
        <w:t>(iv) the relationship between a controlled corporation and other controlled corporations of its controlling shareholder, etc. (if any of the controlled corporations is a commodity exchange, etc., excluding the relationship of the commodity exchange, etc. and other controlled corporations).</w:t>
      </w:r>
    </w:p>
    <w:p w:rsidR="00E600EE" w:rsidRDefault="00B368A0">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E600EE" w:rsidRDefault="00B368A0">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E600EE" w:rsidRDefault="00B368A0">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E600EE" w:rsidRDefault="00B368A0">
      <w:pPr>
        <w:pStyle w:val="enf4"/>
      </w:pPr>
      <w:r>
        <w:t xml:space="preserve">(5) In any of the cases referred to in the following items, the voting right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E600EE" w:rsidRDefault="00B368A0">
      <w:pPr>
        <w:pStyle w:val="enf6"/>
      </w:pPr>
      <w:r>
        <w:t>(i) the case referred to in paragraph (2): joint holders;</w:t>
      </w:r>
    </w:p>
    <w:p w:rsidR="00E600EE" w:rsidRDefault="00B368A0">
      <w:pPr>
        <w:pStyle w:val="enf6"/>
      </w:pPr>
      <w:r>
        <w:t>(ii) the case referred to in paragraph (3): husband and wife;</w:t>
      </w:r>
    </w:p>
    <w:p w:rsidR="00E600EE" w:rsidRDefault="00B368A0">
      <w:pPr>
        <w:pStyle w:val="enf6"/>
      </w:pPr>
      <w:r>
        <w:t xml:space="preserve">(iii) the case referred to in the preceding paragraph: controlling shareholder, etc. and its </w:t>
      </w:r>
      <w:r>
        <w:t>controlled corporation.</w:t>
      </w:r>
    </w:p>
    <w:p w:rsidR="00E600EE" w:rsidRDefault="00E600EE"/>
    <w:p w:rsidR="00E600EE" w:rsidRDefault="00B368A0">
      <w:pPr>
        <w:pStyle w:val="ena"/>
      </w:pPr>
      <w:r>
        <w:t>(Securities for Allocation)</w:t>
      </w:r>
    </w:p>
    <w:p w:rsidR="00E600EE" w:rsidRDefault="00B368A0">
      <w:pPr>
        <w:pStyle w:val="enf3"/>
      </w:pPr>
      <w:r>
        <w:t>Article 13  The securities specified by Cabinet Order as referred to in Article 101, paragraph (3) of the Act are as follows; provided, however, that those stated in items (iii) through (viii) are limited to those which a commodity exchange designates in its articles of incorporation (for an incorporated commodity exchange, in its operational rules):</w:t>
      </w:r>
    </w:p>
    <w:p w:rsidR="00E600EE" w:rsidRDefault="00B368A0">
      <w:pPr>
        <w:pStyle w:val="enf6"/>
      </w:pPr>
      <w:r>
        <w:t>(i) subscription certificates issued by the Bank of Japan;</w:t>
      </w:r>
    </w:p>
    <w:p w:rsidR="00E600EE" w:rsidRDefault="00B368A0">
      <w:pPr>
        <w:pStyle w:val="enf6"/>
      </w:pPr>
      <w:r>
        <w:t>(ii) bond certificates issued by a corporation pursuant to special laws;</w:t>
      </w:r>
    </w:p>
    <w:p w:rsidR="00E600EE" w:rsidRDefault="00B368A0">
      <w:pPr>
        <w:pStyle w:val="enf6"/>
      </w:pPr>
      <w:r>
        <w:t>(iii) share certificates traded in a financial instruments exchange market prescribed in Article 2, paragraph (17) of the Financial Instruments and Exchange Act;</w:t>
      </w:r>
    </w:p>
    <w:p w:rsidR="00E600EE" w:rsidRDefault="00B368A0">
      <w:pPr>
        <w:pStyle w:val="enf6"/>
      </w:pPr>
      <w:r>
        <w:t>(iv) share certificates registered in the over-the-counter traded securities register prescribed in Article 67-11, paragraph (1) of the Financial Instruments and Exchange Act;</w:t>
      </w:r>
    </w:p>
    <w:p w:rsidR="00E600EE" w:rsidRDefault="00B368A0">
      <w:pPr>
        <w:pStyle w:val="enf6"/>
      </w:pPr>
      <w:r>
        <w:t xml:space="preserve">(v) share certificates (excluding share certificates referred to in the preceding two items) issued by a bank pursuant to the Banking Act (Act </w:t>
      </w:r>
      <w:r>
        <w:t>No. 59 of 1981);</w:t>
      </w:r>
    </w:p>
    <w:p w:rsidR="00E600EE" w:rsidRDefault="00B368A0">
      <w:pPr>
        <w:pStyle w:val="enf6"/>
      </w:pPr>
      <w:r>
        <w:t>(vi) corporate bond certificates issued by a company that issues share certificates referred to in item (iii) or (iv);</w:t>
      </w:r>
    </w:p>
    <w:p w:rsidR="00E600EE" w:rsidRDefault="00B368A0">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E600EE" w:rsidRDefault="00B368A0">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E600EE" w:rsidRDefault="00E600EE"/>
    <w:p w:rsidR="00E600EE" w:rsidRDefault="00B368A0">
      <w:pPr>
        <w:pStyle w:val="ena"/>
      </w:pPr>
      <w:r>
        <w:t>(Deemed Replacement of Terms of the Provisions of the Companies Act as Applied Mutatis Mutandis to Cases in Which Members of Member Commodity Exchanges is Allotted Shares Upon Entity Conversion)</w:t>
      </w:r>
    </w:p>
    <w:p w:rsidR="00E600EE" w:rsidRDefault="00B368A0">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E600EE" w:rsidRDefault="00E600EE"/>
    <w:p w:rsidR="00E600EE" w:rsidRDefault="00B368A0">
      <w:pPr>
        <w:pStyle w:val="ena"/>
      </w:pPr>
      <w:r>
        <w:t>(Deemed Replacement of Terms of the Provisions of the Companies Act as Applied Mutatis Mutandis to Cases of Making Property Other Than Money the Subject of Contribution)</w:t>
      </w:r>
    </w:p>
    <w:p w:rsidR="00E600EE" w:rsidRDefault="00B368A0">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stated in items (i), (iii), and (iv) of that paragraph, the persons respectively prescribed in those items)" is deemed to be replaced with "the persons respectively prescribed in those items".</w:t>
      </w:r>
    </w:p>
    <w:p w:rsidR="00E600EE" w:rsidRDefault="00E600EE"/>
    <w:p w:rsidR="00E600EE" w:rsidRDefault="00B368A0">
      <w:pPr>
        <w:pStyle w:val="ena"/>
      </w:pPr>
      <w:r>
        <w:t>(Deemed Replacement of Terms of the Provisions of the Companies Act as Applied Mutatis Mutandis to Share Purchase Demand in the Case of Absorption-Type Mergers)</w:t>
      </w:r>
    </w:p>
    <w:p w:rsidR="00E600EE" w:rsidRDefault="00B368A0">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to Be Replaced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(2), item (ii) of the preceding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870-2, </w:t>
            </w:r>
            <w:r>
              <w:t>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that item</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 paragraph (2), item (ii)</w:t>
            </w: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r w:rsidR="00E600E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c>
          <w:tcPr>
            <w:tcW w:w="2897" w:type="dxa"/>
            <w:tcMar>
              <w:top w:w="0" w:type="dxa"/>
              <w:left w:w="108" w:type="dxa"/>
              <w:bottom w:w="0" w:type="dxa"/>
              <w:right w:w="108" w:type="dxa"/>
            </w:tcMar>
          </w:tcPr>
          <w:p w:rsidR="00E600EE" w:rsidRDefault="00E600EE">
            <w:pPr>
              <w:pStyle w:val="jaen"/>
            </w:pPr>
          </w:p>
        </w:tc>
      </w:tr>
    </w:tbl>
    <w:p w:rsidR="00E600EE" w:rsidRDefault="00E600EE"/>
    <w:p w:rsidR="00E600EE" w:rsidRDefault="00B368A0">
      <w:pPr>
        <w:pStyle w:val="ena"/>
      </w:pPr>
      <w:r>
        <w:t>(Deemed Replacement of Terms of the Provisions of the Companies Act as Applied Mutatis Mutandis to Share Purchase Demand in the Case of Consolidation-Type Mergers)</w:t>
      </w:r>
    </w:p>
    <w:p w:rsidR="00E600EE" w:rsidRDefault="00B368A0">
      <w:pPr>
        <w:pStyle w:val="enf3"/>
      </w:pPr>
      <w:r>
        <w:t xml:space="preserve">Article 17  When the provisions of Article 806, </w:t>
      </w:r>
      <w:r>
        <w:t>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to Be Replaced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144-15, paragraph (1) of the Commodity Derivatives Transaction Act</w:t>
            </w:r>
          </w:p>
        </w:tc>
      </w:tr>
      <w:tr w:rsidR="00E600E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E600E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(2) of that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the items of paragraph (2) of </w:t>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(2), item (ii) of the preceding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that item</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the </w:t>
            </w:r>
            <w:r>
              <w:t>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 paragraph (2), item (ii)</w:t>
            </w:r>
          </w:p>
        </w:tc>
      </w:tr>
    </w:tbl>
    <w:p w:rsidR="00E600EE" w:rsidRDefault="00E600EE"/>
    <w:p w:rsidR="00E600EE" w:rsidRDefault="00B368A0">
      <w:pPr>
        <w:pStyle w:val="ena"/>
      </w:pPr>
      <w:r>
        <w:t>(Deemed Replacement of Terms of the Provisions of the Companies Act as Applied Mutatis Mutandis to Rights to Request Purchase of Share Options in the Cases of Consolidation-Type Mergers)</w:t>
      </w:r>
    </w:p>
    <w:p w:rsidR="00E600EE" w:rsidRDefault="00B368A0">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to Be Replaced with</w:t>
            </w:r>
          </w:p>
        </w:tc>
      </w:tr>
      <w:tr w:rsidR="00E600E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144-15, paragraph (1) of the Commodity Derivatives Transaction Act</w:t>
            </w:r>
          </w:p>
        </w:tc>
      </w:tr>
      <w:tr w:rsidR="00E600E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(2) of that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Incorporated Commodity Exchange Established by a Consolidation-Type Merger</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paragraph (2), item (ii) of </w:t>
            </w:r>
            <w:r>
              <w:t>the preceding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that item</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870, paragraph (2), item (ii)</w:t>
            </w:r>
          </w:p>
        </w:tc>
      </w:tr>
    </w:tbl>
    <w:p w:rsidR="00E600EE" w:rsidRDefault="00E600EE"/>
    <w:p w:rsidR="00E600EE" w:rsidRDefault="00B368A0">
      <w:pPr>
        <w:pStyle w:val="ena"/>
      </w:pPr>
      <w:r>
        <w:t>(The Same Type of Commodity Markets)</w:t>
      </w:r>
    </w:p>
    <w:p w:rsidR="00E600EE" w:rsidRDefault="00B368A0">
      <w:pPr>
        <w:pStyle w:val="enf3"/>
      </w:pPr>
      <w:r>
        <w:t>Article 19  The same type of commodity market specified by Cabinet Order as referred to in Article 149, paragraphs (2) and (4) of the Act is as follows:</w:t>
      </w:r>
    </w:p>
    <w:p w:rsidR="00E600EE" w:rsidRDefault="00B368A0">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 and</w:t>
      </w:r>
    </w:p>
    <w:p w:rsidR="00E600EE" w:rsidRDefault="00B368A0">
      <w:pPr>
        <w:pStyle w:val="enf6"/>
      </w:pPr>
      <w:r>
        <w:t>(ii) in the case of a commodity market for a listed commodity index, a commodity market which includes all commodity indices included in listed commodity indices in a commodity market of a commodity exchange dissolved as a result of the merger (referred to below as "indices constituting the listed commodity index" in this item) and conducts all types of transactions that had been conducted in a commodity market of the dissolved commodity exchange for each of the indices constituting the listed commodity ind</w:t>
      </w:r>
      <w:r>
        <w:t>ex.</w:t>
      </w:r>
    </w:p>
    <w:p w:rsidR="00E600EE" w:rsidRDefault="00E600EE"/>
    <w:p w:rsidR="00E600EE" w:rsidRDefault="00B368A0">
      <w:pPr>
        <w:pStyle w:val="ena"/>
      </w:pPr>
      <w:r>
        <w:t>(Deemed Replacement of Terms of the Provisions of the Companies Act as Applied Mutatis Mutandis to Cases in Which Members of Member Commodity Exchanges Are Allotted Shares Upon Mergers)</w:t>
      </w:r>
    </w:p>
    <w:p w:rsidR="00E600EE" w:rsidRDefault="00B368A0">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Terms </w:t>
            </w:r>
            <w:r>
              <w:t>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to Be Replaced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Ministry of Justice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order of the competent ministry</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874, item (iv)</w:t>
            </w:r>
          </w:p>
        </w:tc>
      </w:tr>
    </w:tbl>
    <w:p w:rsidR="00E600EE" w:rsidRDefault="00E600EE"/>
    <w:p w:rsidR="00E600EE" w:rsidRDefault="00B368A0">
      <w:pPr>
        <w:pStyle w:val="ena"/>
      </w:pPr>
      <w:r>
        <w:t>(Deemed Replacement of Terms of the Provisions of the Commercial Registration Act as Applied Mutatis Mutandis to Registration of Member Commodity Exchanges Established by the Merger Between Member Commodity Exchanges)</w:t>
      </w:r>
    </w:p>
    <w:p w:rsidR="00E600EE" w:rsidRDefault="00B368A0">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stated in Article 139, paragraph (2), item (i) of the Act, the technical replacement of terms concerning these provisions</w:t>
      </w:r>
      <w:r>
        <w:t xml:space="preserve">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to Be Replaced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124, paragraph (2) of the Commodity Derivatives Transaction Act as applied mutatis mutandis </w:t>
            </w:r>
            <w:r>
              <w:t>pursuant to Article 144-2, paragraph (4) of that Act</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154, paragraph (2) of the Commodity Derivatives Transaction Act</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124, paragraph (2) of the Commodity Derivatives Transaction Act as applied mutatis mutandis pursuant to Article 144, paragraph (6) of that Act</w:t>
            </w:r>
          </w:p>
        </w:tc>
      </w:tr>
      <w:tr w:rsidR="00E600E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E600E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 of that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810, paragraph (2) of the </w:t>
            </w:r>
            <w:r>
              <w:t>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124, paragraph (2) of the Commodity Derivatives Transaction Act as applied mutatis mutandis pursuant to Article 144-3, paragraph (6) of that Act</w:t>
            </w:r>
          </w:p>
        </w:tc>
      </w:tr>
      <w:tr w:rsidR="00E600E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E600E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 of that Article</w:t>
            </w:r>
          </w:p>
        </w:tc>
      </w:tr>
    </w:tbl>
    <w:p w:rsidR="00E600EE" w:rsidRDefault="00E600EE"/>
    <w:p w:rsidR="00E600EE" w:rsidRDefault="00B368A0">
      <w:pPr>
        <w:pStyle w:val="ena"/>
      </w:pPr>
      <w:r>
        <w:t xml:space="preserve">(Deemed Replacement of Terms of the Provisions of the </w:t>
      </w:r>
      <w:r>
        <w:t>Commercial Registration Act as Applied Mutatis Mutandis to Registration of a Member Commodity Exchange or an Incorporated Commodity Exchange Established by the Merger Between a Member Commodity Exchange and an Incorporated Commodity Exchange)</w:t>
      </w:r>
    </w:p>
    <w:p w:rsidR="00E600EE" w:rsidRDefault="00B368A0">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stated in Article 139, paragraph (2), item (ii) of the Act, the technical replacement of terms concerning these provisions is as in the follo</w:t>
      </w:r>
      <w:r>
        <w:t>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to Be Replaced with</w:t>
            </w:r>
          </w:p>
        </w:tc>
      </w:tr>
      <w:tr w:rsidR="00E600E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main clause of Article 144-7, paragraph (1) of the Commodity Derivatives Transaction Act</w:t>
            </w:r>
          </w:p>
        </w:tc>
      </w:tr>
      <w:tr w:rsidR="00E600E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(2) of that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144-11, paragraph (2) of the Commodity Derivatives Transaction Act</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154, paragraph (2) of the Commodity Derivatives Transaction Act</w:t>
            </w:r>
          </w:p>
        </w:tc>
      </w:tr>
      <w:tr w:rsidR="00E600E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124, paragraph (2) of the Commodity Derivatives Transaction Act as applied mutatis mutandis pursuant to Article 144, paragraph (5) of that Act</w:t>
            </w:r>
          </w:p>
        </w:tc>
      </w:tr>
      <w:tr w:rsidR="00E600E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paragraph (3) of that Article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804, </w:t>
            </w:r>
            <w:r>
              <w:t>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144-14, paragraphs (1) and (4) of the Commodity Derivatives Transaction Act</w:t>
            </w:r>
          </w:p>
        </w:tc>
      </w:tr>
      <w:tr w:rsidR="00E600E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810, paragraph 2 of the Companies Act (excluding item (iii) and including as applied mutatis </w:t>
            </w:r>
            <w:r>
              <w:t>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E600E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unless </w:t>
            </w:r>
            <w:r>
              <w:t>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unless sending to a registry office that has jurisdiction over the locality of the principal office or the head office</w:t>
            </w:r>
          </w:p>
        </w:tc>
      </w:tr>
    </w:tbl>
    <w:p w:rsidR="00E600EE" w:rsidRDefault="00E600EE"/>
    <w:p w:rsidR="00E600EE" w:rsidRDefault="00B368A0">
      <w:pPr>
        <w:pStyle w:val="ena"/>
      </w:pPr>
      <w:r>
        <w:t>(Persons with Close Relationships to the Members)</w:t>
      </w:r>
    </w:p>
    <w:p w:rsidR="00E600EE" w:rsidRDefault="00B368A0">
      <w:pPr>
        <w:pStyle w:val="enf3"/>
      </w:pPr>
      <w:r>
        <w:t>Article 22-2  (1) The persons specified by Cabinet Order as referred to in Article 157, paragraph (3) of the Act are as follows:</w:t>
      </w:r>
    </w:p>
    <w:p w:rsidR="00E600EE" w:rsidRDefault="00B368A0">
      <w:pPr>
        <w:pStyle w:val="enf6"/>
      </w:pPr>
      <w:r>
        <w:t>(i) a subsidiary corporation, etc. of the member, etc.;</w:t>
      </w:r>
    </w:p>
    <w:p w:rsidR="00E600EE" w:rsidRDefault="00B368A0">
      <w:pPr>
        <w:pStyle w:val="enf6"/>
      </w:pPr>
      <w:r>
        <w:t>(ii) the parent corporation, etc. that has the member, etc. as its subsidiary corporation, etc.;</w:t>
      </w:r>
    </w:p>
    <w:p w:rsidR="00E600EE" w:rsidRDefault="00B368A0">
      <w:pPr>
        <w:pStyle w:val="enf6"/>
      </w:pPr>
      <w:r>
        <w:t>(iii) a subsidiary corporation, etc. of the parent corporation, etc. that has the member, etc. as its subsidiary corporation, etc. (excluding the members, etc. and persons stated in the preceding two items); and</w:t>
      </w:r>
    </w:p>
    <w:p w:rsidR="00E600EE" w:rsidRDefault="00B368A0">
      <w:pPr>
        <w:pStyle w:val="enf6"/>
      </w:pPr>
      <w:r>
        <w:t>(iv) an affiliated corporation, etc. of the member, etc.</w:t>
      </w:r>
    </w:p>
    <w:p w:rsidR="00E600EE" w:rsidRDefault="00B368A0">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referred to below as the "decision-making body" in this paragraph) of another corporation, etc. (meaning a company, partnership, or other equivalent business entity; the same applies below in this pa</w:t>
      </w:r>
      <w:r>
        <w:t>ragraph and the following paragraph), and the term "subsidiary corporation, etc." as used in the preceding paragraph and the following paragraph means the other corporation, etc. whose decision-making body is controlled by the parent corporation, etc. In this case, the other corporation, etc. whose decision-making body is controlled by the parent corporation, etc. and a subsidiary corporation, etc. or by a subsidiary corporation is deemed to be a subsidiary corporation, etc. of the parent corporation, etc.</w:t>
      </w:r>
    </w:p>
    <w:p w:rsidR="00E600EE" w:rsidRDefault="00B368A0">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E600EE" w:rsidRDefault="00E600EE"/>
    <w:p w:rsidR="00E600EE" w:rsidRDefault="00B368A0">
      <w:pPr>
        <w:pStyle w:val="ena"/>
      </w:pPr>
      <w:r>
        <w:t xml:space="preserve">(Entities Eligible for Licensing as </w:t>
      </w:r>
      <w:r>
        <w:t>Commodity Derivatives Brokers)</w:t>
      </w:r>
    </w:p>
    <w:p w:rsidR="00E600EE" w:rsidRDefault="00B368A0">
      <w:pPr>
        <w:pStyle w:val="enf3"/>
      </w:pPr>
      <w:r>
        <w:t>Article 23  The entities specified by Cabinet Order as referred to in Article 193, paragraph (1), item (i), (b) of the Act, are the following entities:</w:t>
      </w:r>
    </w:p>
    <w:p w:rsidR="00E600EE" w:rsidRDefault="00B368A0">
      <w:pPr>
        <w:pStyle w:val="enf6"/>
      </w:pPr>
      <w:r>
        <w:t>(i) Shinkin Banks and the federation of Shinkin Banks; and</w:t>
      </w:r>
    </w:p>
    <w:p w:rsidR="00E600EE" w:rsidRDefault="00B368A0">
      <w:pPr>
        <w:pStyle w:val="enf6"/>
      </w:pPr>
      <w:r>
        <w:t>(ii) credit cooperatives and the federation of credit cooperatives engaged in the business referred to in Article 9-9, paragraph (1), item (i) of the Small and Medium-Sized Enterprise Cooperatives Act (Act No. 181 of 1949);</w:t>
      </w:r>
    </w:p>
    <w:p w:rsidR="00E600EE" w:rsidRDefault="00B368A0">
      <w:pPr>
        <w:pStyle w:val="enf6"/>
      </w:pPr>
      <w:r>
        <w:t>(iii) labor banks and the federation of labor banks;</w:t>
      </w:r>
    </w:p>
    <w:p w:rsidR="00E600EE" w:rsidRDefault="00B368A0">
      <w:pPr>
        <w:pStyle w:val="enf6"/>
      </w:pPr>
      <w:r>
        <w:t>(iv) The Norinchukin Bank;</w:t>
      </w:r>
    </w:p>
    <w:p w:rsidR="00E600EE" w:rsidRDefault="00B368A0">
      <w:pPr>
        <w:pStyle w:val="enf6"/>
      </w:pPr>
      <w:r>
        <w:t>(v) agricultural cooperatives and the federation of agricultural cooperatives engaged in the business referred to in Article 10, paragraph (1), item (iii) of the Agricultural Cooperatives Act (Act No. 132 of 1947); and</w:t>
      </w:r>
    </w:p>
    <w:p w:rsidR="00E600EE" w:rsidRDefault="00B368A0">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E600EE" w:rsidRDefault="00E600EE"/>
    <w:p w:rsidR="00E600EE" w:rsidRDefault="00B368A0">
      <w:pPr>
        <w:pStyle w:val="ena"/>
      </w:pPr>
      <w:r>
        <w:t>(Provision of Matters Using Information Communication Technology Related to Acceptance of Proposals for Treatment as General Customers by Eligible Requesting Parties)</w:t>
      </w:r>
    </w:p>
    <w:p w:rsidR="00E600EE" w:rsidRDefault="00B368A0">
      <w:pPr>
        <w:pStyle w:val="enf3"/>
      </w:pPr>
      <w:r>
        <w:t xml:space="preserve">Article 24  (1) When a commodity derivatives broker seeks to provide the matters prescribed in Article 197-4, paragraph (4) of the Act pursuant to the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broker must indicate </w:t>
      </w:r>
      <w:r>
        <w:t>in advance and as specified by order of the competent ministry to the counterpart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of the competent min</w:t>
      </w:r>
      <w:r>
        <w:t>istry (referred to as "in writing, etc." in the following paragraph).</w:t>
      </w:r>
    </w:p>
    <w:p w:rsidR="00E600EE" w:rsidRDefault="00B368A0">
      <w:pPr>
        <w:pStyle w:val="enf4"/>
      </w:pPr>
      <w:r>
        <w:t>(2) When a commodity derivatives business operator that has obtained the consent under the provisions of the preceding paragraph receives a request in writing, etc. from the counterpart that they will not accept provision of matters by electronic or magnetic means, the matters under the provisions of Article 197-4, paragraph (4) of the Act may not be provided by electronic or magnetic means; provided, however, that this does not apply if the counterpart has given consent under the provisions of the precedin</w:t>
      </w:r>
      <w:r>
        <w:t>g paragraph at another time.</w:t>
      </w:r>
    </w:p>
    <w:p w:rsidR="00E600EE" w:rsidRDefault="00E600EE"/>
    <w:p w:rsidR="00E600EE" w:rsidRDefault="00B368A0">
      <w:pPr>
        <w:pStyle w:val="ena"/>
      </w:pPr>
      <w:r>
        <w:t>(Obtaining Consent Using Information Communication Technology for Acceptance of a Request for Reinstatement)</w:t>
      </w:r>
    </w:p>
    <w:p w:rsidR="00E600EE" w:rsidRDefault="00B368A0">
      <w:pPr>
        <w:pStyle w:val="enf3"/>
      </w:pPr>
      <w:r>
        <w:t>Article 25  (1) When a commodity derivatives broker seeks to obtain consent by the means specified by order of the competent ministry (referred to below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mutatis mutandis pursua</w:t>
      </w:r>
      <w:r>
        <w:t>nt to Article 197-6, paragraph (6)), Article 197-6, paragraph (6) and Article 197-9, paragraph (2) of the Act) and to Article 197-8, paragraph (2); the same applies below in this Article), the broker must indicate in advance and as specified by order of the competent ministry to the counterpart from whom consent is sought the type and content of the electronic or magnetic means to be used, and obtain their consent in writing or by electronic or magnetic means.</w:t>
      </w:r>
    </w:p>
    <w:p w:rsidR="00E600EE" w:rsidRDefault="00B368A0">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197-4, paragraph (12) of the Act; provided, however, that this does not apply if the counterpart has given consent under the provisions of the precedin</w:t>
      </w:r>
      <w:r>
        <w:t>g paragraph at another time.</w:t>
      </w:r>
    </w:p>
    <w:p w:rsidR="00E600EE" w:rsidRDefault="00E600EE"/>
    <w:p w:rsidR="00E600EE" w:rsidRDefault="00B368A0">
      <w:pPr>
        <w:pStyle w:val="ena"/>
      </w:pPr>
      <w:r>
        <w:t>(Amount of Registration Fees)</w:t>
      </w:r>
    </w:p>
    <w:p w:rsidR="00E600EE" w:rsidRDefault="00B368A0">
      <w:pPr>
        <w:pStyle w:val="enf3"/>
      </w:pPr>
      <w:r>
        <w:t>Article 26  (1) The amount of the registration fee prescribed in Article 207, paragraph (1) of the Act (including as applied mutatis mutandis pursuant to Article 240-11 of the Act) is 1,000 yen.</w:t>
      </w:r>
    </w:p>
    <w:p w:rsidR="00E600EE" w:rsidRDefault="00B368A0">
      <w:pPr>
        <w:pStyle w:val="enf4"/>
      </w:pPr>
      <w:r>
        <w:t>(2) If a person pays the registration fee referred to in the preceding paragraph to the national government, the person must pay the fee by attaching a revenue stamp for an amount equivalent to the registration fee to the written application for registration.</w:t>
      </w:r>
    </w:p>
    <w:p w:rsidR="00E600EE" w:rsidRDefault="00E600EE"/>
    <w:p w:rsidR="00E600EE" w:rsidRDefault="00B368A0">
      <w:pPr>
        <w:pStyle w:val="ena"/>
      </w:pPr>
      <w:r>
        <w:t>(Obtaining Consent Using Information Communication Technology Concerning Disposal of Goods Possessed by Commodity Derivatives Brokers)</w:t>
      </w:r>
    </w:p>
    <w:p w:rsidR="00E600EE" w:rsidRDefault="00B368A0">
      <w:pPr>
        <w:pStyle w:val="enf3"/>
      </w:pPr>
      <w:r>
        <w:t>Article 27  (1) When seeking to obtain consent using means specified by order of the competent ministry prescribed in Article 209, paragraph (2) of the Act pursuant to the provisions of that paragraph (referred to below as "electronic or magnetic means" in this Article), a commodity derivatives broker must indicate in advance and as specified by order of the competent ministry to the counterpart from whom consent is sought the type and content of electronic or magnetic means to be used, and obtain their con</w:t>
      </w:r>
      <w:r>
        <w:t>sent in writing or by electronic or magnetic means.</w:t>
      </w:r>
    </w:p>
    <w:p w:rsidR="00E600EE" w:rsidRDefault="00B368A0">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209, paragraph (2) from the counterpart; provided, however, that this does not apply if the counterpart has given their consent under the provisions of</w:t>
      </w:r>
      <w:r>
        <w:t xml:space="preserve"> the preceding paragraph at another time.</w:t>
      </w:r>
    </w:p>
    <w:p w:rsidR="00E600EE" w:rsidRDefault="00E600EE"/>
    <w:p w:rsidR="00E600EE" w:rsidRDefault="00B368A0">
      <w:pPr>
        <w:pStyle w:val="ena"/>
      </w:pPr>
      <w:r>
        <w:t>(Persons Excluded from Those That Are to Give Notification of Net Asset Regulation Ratio)</w:t>
      </w:r>
    </w:p>
    <w:p w:rsidR="00E600EE" w:rsidRDefault="00B368A0">
      <w:pPr>
        <w:pStyle w:val="enf3"/>
      </w:pPr>
      <w:r>
        <w:t>Article 28  The persons specified by Cabinet Order as referred to in Article 211, paragraph (1) of the Act are as follows:</w:t>
      </w:r>
    </w:p>
    <w:p w:rsidR="00E600EE" w:rsidRDefault="00B368A0">
      <w:pPr>
        <w:pStyle w:val="enf6"/>
      </w:pPr>
      <w:r>
        <w:t>(i) banks;</w:t>
      </w:r>
    </w:p>
    <w:p w:rsidR="00E600EE" w:rsidRDefault="00B368A0">
      <w:pPr>
        <w:pStyle w:val="enf6"/>
      </w:pPr>
      <w:r>
        <w:t>(ii) The Shoko Chukin Bank, Ltd.;</w:t>
      </w:r>
    </w:p>
    <w:p w:rsidR="00E600EE" w:rsidRDefault="00B368A0">
      <w:pPr>
        <w:pStyle w:val="enf6"/>
      </w:pPr>
      <w:r>
        <w:t>(iii) Development Bank of Japan Inc.;</w:t>
      </w:r>
    </w:p>
    <w:p w:rsidR="00E600EE" w:rsidRDefault="00B368A0">
      <w:pPr>
        <w:pStyle w:val="enf6"/>
      </w:pPr>
      <w:r>
        <w:t>(iv) Shinkin Banks and the federation of Shinkin Banks;</w:t>
      </w:r>
    </w:p>
    <w:p w:rsidR="00E600EE" w:rsidRDefault="00B368A0">
      <w:pPr>
        <w:pStyle w:val="enf6"/>
      </w:pPr>
      <w:r>
        <w:t>(v) credit cooperatives and the federation of cooperatives engaged in the business referred to in Article 9-9, paragraph (1), item (i) of the Small and Medium-Sized Enterprise Cooperatives Act;</w:t>
      </w:r>
    </w:p>
    <w:p w:rsidR="00E600EE" w:rsidRDefault="00B368A0">
      <w:pPr>
        <w:pStyle w:val="enf6"/>
      </w:pPr>
      <w:r>
        <w:t>(vi) labor banks and the federation of labor banks;</w:t>
      </w:r>
    </w:p>
    <w:p w:rsidR="00E600EE" w:rsidRDefault="00B368A0">
      <w:pPr>
        <w:pStyle w:val="enf6"/>
      </w:pPr>
      <w:r>
        <w:t>(vii) The Norinchukin Bank;</w:t>
      </w:r>
    </w:p>
    <w:p w:rsidR="00E600EE" w:rsidRDefault="00B368A0">
      <w:pPr>
        <w:pStyle w:val="enf6"/>
      </w:pPr>
      <w:r>
        <w:t>(viii) agricultural cooperatives and the federation of agricultural cooperatives engaged in the business referred to in Article 10, paragraph (1), item (iii) of the Agricultural Cooperatives Act; and</w:t>
      </w:r>
    </w:p>
    <w:p w:rsidR="00E600EE" w:rsidRDefault="00B368A0">
      <w:pPr>
        <w:pStyle w:val="enf6"/>
      </w:pPr>
      <w:r>
        <w:t>(ix) Insurance companies and foreign insurance companies prescribed in Article 2, paragraph (7) of the Insurance Business Act.</w:t>
      </w:r>
    </w:p>
    <w:p w:rsidR="00E600EE" w:rsidRDefault="00E600EE"/>
    <w:p w:rsidR="00E600EE" w:rsidRDefault="00B368A0">
      <w:pPr>
        <w:pStyle w:val="ena"/>
      </w:pPr>
      <w:r>
        <w:t>(Important Matters that Impact Customers' Judgment)</w:t>
      </w:r>
    </w:p>
    <w:p w:rsidR="00E600EE" w:rsidRDefault="00B368A0">
      <w:pPr>
        <w:pStyle w:val="enf3"/>
      </w:pPr>
      <w:r>
        <w:t>Article 29  The matters specified by Cabinet Order as referred to in Article 213-2, paragraph (1), item (iii) of the Act are the following matters:</w:t>
      </w:r>
    </w:p>
    <w:p w:rsidR="00E600EE" w:rsidRDefault="00B368A0">
      <w:pPr>
        <w:pStyle w:val="enf6"/>
      </w:pPr>
      <w:r>
        <w:t>(i) matters concerning fees, remunerations, and other considerations required to be paid by customers regarding a commodity transaction contract that are specified by order of the competent ministry;</w:t>
      </w:r>
    </w:p>
    <w:p w:rsidR="00E600EE" w:rsidRDefault="00B368A0">
      <w:pPr>
        <w:pStyle w:val="enf6"/>
      </w:pPr>
      <w:r>
        <w:t>(ii) if there is clearing margin, etc. to be deposited by the customer regarding a commodity transaction contract (meaning the clearing margin, etc. prescribed in Article 217, paragraph (1), item (i) of the Act; the same applies below in this Article, the following Article, and Article 36), the amount or its calculation method;</w:t>
      </w:r>
    </w:p>
    <w:p w:rsidR="00E600EE" w:rsidRDefault="00B368A0">
      <w:pPr>
        <w:pStyle w:val="enf6"/>
      </w:pPr>
      <w:r>
        <w:t>(iii) if there is a possibility that the amount of the transaction based on a commodity transaction contract (for transactions stated in Article 2, paragraph (3), item (iv) of the Act, the transactions stated in sub-items (a) through (e) of that item which are closed by exercising the right under that item; for transactions stated in paragraph (14), item (iv) of that Article, the transactions stated in sub-items (a) through (d) of that item which are closed by exercising the right under that item; for trans</w:t>
      </w:r>
      <w:r>
        <w:t>actions stated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 the transactio</w:t>
      </w:r>
      <w:r>
        <w:t>n, the following matters:</w:t>
      </w:r>
    </w:p>
    <w:p w:rsidR="00E600EE" w:rsidRDefault="00B368A0">
      <w:pPr>
        <w:pStyle w:val="enf9"/>
      </w:pPr>
      <w:r>
        <w:t>(a) the fact that there is a possibility that the amount of the transaction exceeds the amount of the clearing margin, etc.;</w:t>
      </w:r>
    </w:p>
    <w:p w:rsidR="00E600EE" w:rsidRDefault="00B368A0">
      <w:pPr>
        <w:pStyle w:val="enf9"/>
      </w:pPr>
      <w:r>
        <w:t>(b) the ratio of the amount of the transaction to the amount of the clearing margin, etc. (if the ratio cannot be calculated, that fact and the reason for it);</w:t>
      </w:r>
    </w:p>
    <w:p w:rsidR="00E600EE" w:rsidRDefault="00B368A0">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for it; and</w:t>
      </w:r>
    </w:p>
    <w:p w:rsidR="00E600EE" w:rsidRDefault="00B368A0">
      <w:pPr>
        <w:pStyle w:val="enf6"/>
      </w:pPr>
      <w:r>
        <w:t>(v) the matters specified by order of the competent minister as those equivalent to the matters stated in the preceding items.</w:t>
      </w:r>
    </w:p>
    <w:p w:rsidR="00E600EE" w:rsidRDefault="00E600EE"/>
    <w:p w:rsidR="00E600EE" w:rsidRDefault="00B368A0">
      <w:pPr>
        <w:pStyle w:val="ena"/>
      </w:pPr>
      <w:r>
        <w:t>(Commodity Transaction Contracts Prohibiting Uninvited Solicitations)</w:t>
      </w:r>
    </w:p>
    <w:p w:rsidR="00E600EE" w:rsidRDefault="00B368A0">
      <w:pPr>
        <w:pStyle w:val="enf3"/>
      </w:pPr>
      <w:r>
        <w:t>Article 30  The contracts specified by Cabinet Order as referred to in Article 214, item (ix) of the Act are commodity transaction contracts concluded with a customer who is an individual (referred to below as "individual customer" in this Article ) as the counterpart, or contracts in which the acts stated in Article 2, paragraph (22), items (i) through (iv) are to be performed for the individual customer (limited to those for which there is a risk of the individual customer to incur losses for transactions</w:t>
      </w:r>
      <w:r>
        <w:t xml:space="preserve">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counterpart or contracts in which the acts stated in item (v) of that paragraph are to be performed for the individual customer.</w:t>
      </w:r>
    </w:p>
    <w:p w:rsidR="00E600EE" w:rsidRDefault="00E600EE"/>
    <w:p w:rsidR="00E600EE" w:rsidRDefault="00B368A0">
      <w:pPr>
        <w:pStyle w:val="ena"/>
      </w:pPr>
      <w:r>
        <w:t>(Provision or Notification of Matters Using Information Communication Technology for Documents, Prior to Conclusion of Commodity Transaction Contracts)</w:t>
      </w:r>
    </w:p>
    <w:p w:rsidR="00E600EE" w:rsidRDefault="00B368A0">
      <w:pPr>
        <w:pStyle w:val="enf3"/>
      </w:pPr>
      <w:r>
        <w:t xml:space="preserve">Article 31  (1) If a commodity derivatives broker seeks to provide or notify the matters prescribed in Article 217, paragraph (2) of the Act pursuant to the provisions of Article 217, paragraph (2) of the Act (including as applied mutatis mutandis pursuant to Article 220, paragraph (2) and Article 220-2, paragraph (2) of the Act; the same applies below in this Article), the broker must, in advance and as specified by order of the competent ministry, indicate to the counterpart to whom the matters are to be </w:t>
      </w:r>
      <w:r>
        <w:t>provided or notified the type and content of the information communications technology prescribed in that paragraph to be used (referred to below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E600EE" w:rsidRDefault="00B368A0">
      <w:pPr>
        <w:pStyle w:val="enf4"/>
      </w:pPr>
      <w:r>
        <w:t>(2) If a commodity derivatives broker who has obtained the consent under the provisions of the preceding paragraph receives a request from the counterpart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counterpart has given their con</w:t>
      </w:r>
      <w:r>
        <w:t>sent under the preceding Article at another time.</w:t>
      </w:r>
    </w:p>
    <w:p w:rsidR="00E600EE" w:rsidRDefault="00E600EE"/>
    <w:p w:rsidR="00E600EE" w:rsidRDefault="00B368A0">
      <w:pPr>
        <w:pStyle w:val="ena"/>
      </w:pPr>
      <w:r>
        <w:t>(Entities Not Required to Formulate a Solicitation Policy)</w:t>
      </w:r>
    </w:p>
    <w:p w:rsidR="00E600EE" w:rsidRDefault="00B368A0">
      <w:pPr>
        <w:pStyle w:val="enf3"/>
      </w:pPr>
      <w:r>
        <w:t xml:space="preserve">Article 32  (1) The </w:t>
      </w:r>
      <w:r>
        <w:t>entities specified by Cabinet Order as stated in the proviso to Article 10, paragraph (1) of the Act on the Provision of and the Development of Environment for Using Financial Services (Act No. 101 of 2000) as applied mutatis mutandis pursuant to Article 220-3 of the Act are corporations directly established by a law or corporations established by a special act of incorporation pursuant to a special law (excluding corporations which are not subject to application of the provisions of Article 4, paragraph (1</w:t>
      </w:r>
      <w:r>
        <w:t>), item (viii) of the Act for Establishment of the Ministry of Internal Affairs and Communications (Act No. 91 of 1999); the same applies in Article 39, paragraph (1)) that are wholly owned by the national government or a local government.</w:t>
      </w:r>
    </w:p>
    <w:p w:rsidR="00E600EE" w:rsidRDefault="00B368A0">
      <w:pPr>
        <w:pStyle w:val="enf4"/>
      </w:pPr>
      <w:r>
        <w:t>(2) The method specified by Cabinet Order as prescribed in Article 10, paragraph (3) of the Act on the Provision of and the Development of Environment for Using Financial Services as applied mutatis mutandis pursuant to Article 220-3 of the Act is the method of posting the solicitation policy in a clearly visible manner or providing the solicitation policy for public inspection at the head office or principal office of the commodity derivatives broker (with regard to a corporation established under the laws</w:t>
      </w:r>
      <w:r>
        <w:t xml:space="preserve"> and regulations of a foreign country or person who has an address in a foreign country, the principal business office or the principal office in Japan; referred to below as "head office, etc." ), making the solicitation policy available for public inspection by automatic public transmission (meaning the automatic public transmission as prescribed in Article 198, paragraph (1) of the Act; the same applies in Article 39, paragraph (2)) , pursuant to the provisions of order of the competent ministry; and post</w:t>
      </w:r>
      <w:r>
        <w:t>ing the solicitation policy in a clearly visible manner or providing the solicitation policy for public inspection at each branch office, etc. where commodity transaction contracts are to be concluded, when the commodity derivatives broker concludes commodity transaction contracts at branch offices or other business offices or offices other than the head office, etc. (for a corporation established in compliance with the laws and regulations of a foreign country or a person who has an address in a foreign co</w:t>
      </w:r>
      <w:r>
        <w:t>untry, secondary business offices or offices in Japan; hereinafter referred to as the "branch office, etc.")</w:t>
      </w:r>
    </w:p>
    <w:p w:rsidR="00E600EE" w:rsidRDefault="00E600EE"/>
    <w:p w:rsidR="00E600EE" w:rsidRDefault="00B368A0">
      <w:pPr>
        <w:pStyle w:val="ena"/>
      </w:pPr>
      <w:r>
        <w:t>(Replacement of Terms of the Provisions of the Act on the Provision of and the Development of Environment for Using Financial Services as Applied Mutatis Mutandis to Conclusion of Commodity Transaction Contracts by Commodity Derivatives Brokers)</w:t>
      </w:r>
    </w:p>
    <w:p w:rsidR="00E600EE" w:rsidRDefault="00B368A0">
      <w:pPr>
        <w:pStyle w:val="enf3"/>
      </w:pPr>
      <w:r>
        <w:t>Article 33  When the provisions of Article 10, paragraph (1) of the Act on the Provision of and the Development of Environment for Using Financial Services are applied mutatis mutandis to the conclusion of commodity transaction contracts by a commodity derivatives broker pursuant to the provisions of Article 220-3 of the Act, the phrase "cases where the financial instruments provider, etc. is a national government, local government, or any other person specified by Cabinet Order as one found unlikely to eng</w:t>
      </w:r>
      <w:r>
        <w:t>age in improper solicitation of sales or a financial instruments provider, etc. that only has specified customers as its customers" in the proviso to Article 10, paragraph (1) is deemed to be replaced by " cases where the financial instruments provider, etc. is a national government, local government, or any other person specified by Cabinet Order as one found unlikely to engage in improper solicitation of sales".</w:t>
      </w:r>
    </w:p>
    <w:p w:rsidR="00E600EE" w:rsidRDefault="00E600EE"/>
    <w:p w:rsidR="00E600EE" w:rsidRDefault="00B368A0">
      <w:pPr>
        <w:pStyle w:val="ena"/>
      </w:pPr>
      <w:r>
        <w:t>(Assets Required to be Held in Japan)</w:t>
      </w:r>
    </w:p>
    <w:p w:rsidR="00E600EE" w:rsidRDefault="00B368A0">
      <w:pPr>
        <w:pStyle w:val="enf3"/>
      </w:pPr>
      <w:r>
        <w:t>Article 34  Among the assets of a commodity derivatives broker prescribed in Article 234 of the Act, the portion specified by Cabinet Order is the amount of assets equivalent to the amount of liabilities calculated pursuant to the provisions of order of the competent ministry.</w:t>
      </w:r>
    </w:p>
    <w:p w:rsidR="00E600EE" w:rsidRDefault="00E600EE"/>
    <w:p w:rsidR="00E600EE" w:rsidRDefault="00B368A0">
      <w:pPr>
        <w:pStyle w:val="ena"/>
      </w:pPr>
      <w:r>
        <w:t>(Deemed Replacement of Terms of Provisions of the Act Applied Mutatis Mutandis to Commodity Derivatives Intermediary Service Providers)</w:t>
      </w:r>
    </w:p>
    <w:p w:rsidR="00E600EE" w:rsidRDefault="00B368A0">
      <w:pPr>
        <w:pStyle w:val="enf3"/>
      </w:pPr>
      <w:r>
        <w:t>Article 35  When the provisions of the Act are applied mutatis mutandis to commodity derivatives intermediary service providers pursuant to the provisions of Article 240-11 of the Act, the technical replacement of terms concerning these provisions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to Be Repalced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acts stated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intermediary as defined in the items of Article 2, paragraph (22)</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200, paragraph (1), </w:t>
            </w:r>
            <w:r>
              <w:t>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soliciting the requests for acting as an intermediary of the consigment</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soliciting offers... or 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soliciting the requests for acting as an intermediary</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name or trade name (for a corporation, including the name of its representative)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has died, or dissolves or discontinues the commodity derivatives ntermediary service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commodity derivatives business operator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w:t>
            </w:r>
            <w:r>
              <w:t>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commodity derivatives business operators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Commodity Derivatives Intermediary Service Provider that have a member of the association as an entrusting commodity derivatives business operator</w:t>
            </w:r>
          </w:p>
        </w:tc>
      </w:tr>
    </w:tbl>
    <w:p w:rsidR="00E600EE" w:rsidRDefault="00E600EE"/>
    <w:p w:rsidR="00E600EE" w:rsidRDefault="00B368A0">
      <w:pPr>
        <w:pStyle w:val="ena"/>
      </w:pPr>
      <w:r>
        <w:t>(Important Matters That Have an Impact on Customer Judgment)</w:t>
      </w:r>
    </w:p>
    <w:p w:rsidR="00E600EE" w:rsidRDefault="00B368A0">
      <w:pPr>
        <w:pStyle w:val="enf3"/>
      </w:pPr>
      <w:r>
        <w:t>Article 36  The matters specified by Cabinet Order as referred to in Article 240-13, paragraph (1), item (iii) of the Act are the following:</w:t>
      </w:r>
    </w:p>
    <w:p w:rsidR="00E600EE" w:rsidRDefault="00B368A0">
      <w:pPr>
        <w:pStyle w:val="enf6"/>
      </w:pPr>
      <w:r>
        <w:t>(i) matters concerning fees, remuneration, and any other considerations required to be paid by the customer concerning a commodity transaction contract related to acts of commodity derivatives intermediary services (meaning acts of commodity derivatives intermediary services prescribed in Article 240-14 of the Act; the same applies below) that are specified by order of the competent ministry;</w:t>
      </w:r>
    </w:p>
    <w:p w:rsidR="00E600EE" w:rsidRDefault="00B368A0">
      <w:pPr>
        <w:pStyle w:val="enf6"/>
      </w:pPr>
      <w:r>
        <w:t>(ii) when there is clearing margin, etc. required to be deposited by the customer concerning a commodity transaction contract related to acts of commodity derivatives intermediary services, the amount or its calculation method; and</w:t>
      </w:r>
    </w:p>
    <w:p w:rsidR="00E600EE" w:rsidRDefault="00B368A0">
      <w:pPr>
        <w:pStyle w:val="enf6"/>
      </w:pPr>
      <w:r>
        <w:t>(iii) when there is a possibility that the amount of a transaction based on a commodity transaction contract related to acts of commodity derivatives intermediary services will exceed the amount of the clearing margin, etc. required to be deposited by the customer for the transaction, the following matters:</w:t>
      </w:r>
    </w:p>
    <w:p w:rsidR="00E600EE" w:rsidRDefault="00B368A0">
      <w:pPr>
        <w:pStyle w:val="enf9"/>
      </w:pPr>
      <w:r>
        <w:t>(a) the fact that there is a possibility that the amount of the transaction will exceed the amount of the clearing margin, etc.; and</w:t>
      </w:r>
    </w:p>
    <w:p w:rsidR="00E600EE" w:rsidRDefault="00B368A0">
      <w:pPr>
        <w:pStyle w:val="enf9"/>
      </w:pPr>
      <w:r>
        <w:t>(b) the ratio of the amount of the transaction to the amount of the clearing margin, etc. (if the ratio cannot be calculated, that fact and the reason for it);</w:t>
      </w:r>
    </w:p>
    <w:p w:rsidR="00E600EE" w:rsidRDefault="00B368A0">
      <w:pPr>
        <w:pStyle w:val="enf6"/>
      </w:pPr>
      <w:r>
        <w:t>(iv) if there is a risk that the customer will incur a loss for the transaction based on the commodity transaction contract related to acts of commodity derivatives intermediary services due to fluctuation of quotations on a commodity market, etc. and a risk that the amount of the loss will exceed the amount of the clearing margin, etc. the fact and the reason for it; and</w:t>
      </w:r>
    </w:p>
    <w:p w:rsidR="00E600EE" w:rsidRDefault="00B368A0">
      <w:pPr>
        <w:pStyle w:val="enf6"/>
      </w:pPr>
      <w:r>
        <w:t>(v) the matters specified by order of the competent minister as those equivalent to the matters stated in the preceding items.</w:t>
      </w:r>
    </w:p>
    <w:p w:rsidR="00E600EE" w:rsidRDefault="00E600EE"/>
    <w:p w:rsidR="00E600EE" w:rsidRDefault="00B368A0">
      <w:pPr>
        <w:pStyle w:val="ena"/>
      </w:pPr>
      <w:r>
        <w:t>(Scope of Entities with Close Relationships with Commodity Derivatives Intermediary Service Providers)</w:t>
      </w:r>
    </w:p>
    <w:p w:rsidR="00E600EE" w:rsidRDefault="00B368A0">
      <w:pPr>
        <w:pStyle w:val="enf3"/>
      </w:pPr>
      <w:r>
        <w:t>Article 37  The person specified by Cabinet Order as referred to in Article 240-15 of the Act are the following; provided, however, that this excludes requesting commodity derivatives brokers of commodity derivatives intermediary service providers (meaning requesting commodity derivatives brokers prescribed in Article 240-3, paragraph (1), item (iv) of the Act), banks, and other entities specified by order of the competent ministry:</w:t>
      </w:r>
    </w:p>
    <w:p w:rsidR="00E600EE" w:rsidRDefault="00B368A0">
      <w:pPr>
        <w:pStyle w:val="enf6"/>
      </w:pPr>
      <w:r>
        <w:t>(i) a relative (limited to a spouse and a relative by blood or affinity within the third degree of kinship) of a commodity derivatives intermediary service provider (limited to an individual);</w:t>
      </w:r>
    </w:p>
    <w:p w:rsidR="00E600EE" w:rsidRDefault="00B368A0">
      <w:pPr>
        <w:pStyle w:val="enf6"/>
      </w:pPr>
      <w:r>
        <w:t>(ii) an officer or employee of a commodity derivatives intermediary service provider (excluding one stated in the preceding item);</w:t>
      </w:r>
    </w:p>
    <w:p w:rsidR="00E600EE" w:rsidRDefault="00B368A0">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E600EE" w:rsidRDefault="00B368A0">
      <w:pPr>
        <w:pStyle w:val="enf6"/>
      </w:pPr>
      <w:r>
        <w:t>(iv) a corporation that has a controlling relationship over the commodity derivatives intermediary service provider (limited to one that is a corporation; the same applies in the following item);</w:t>
      </w:r>
    </w:p>
    <w:p w:rsidR="00E600EE" w:rsidRDefault="00B368A0">
      <w:pPr>
        <w:pStyle w:val="enf6"/>
      </w:pPr>
      <w:r>
        <w:t>(v) an individual that has voting rights exceeding 50 percent of the total shareholder voting rights of the commodity derivatives intermediary service provider (excluding those stated in item (ii));</w:t>
      </w:r>
    </w:p>
    <w:p w:rsidR="00E600EE" w:rsidRDefault="00B368A0">
      <w:pPr>
        <w:pStyle w:val="enf6"/>
      </w:pPr>
      <w:r>
        <w:t>(vi) a person specified by order of the competent ministry as one equivalent to the persons stated in the preceding items.</w:t>
      </w:r>
    </w:p>
    <w:p w:rsidR="00E600EE" w:rsidRDefault="00E600EE"/>
    <w:p w:rsidR="00E600EE" w:rsidRDefault="00B368A0">
      <w:pPr>
        <w:pStyle w:val="ena"/>
      </w:pPr>
      <w:r>
        <w:t>(Deemed Replacement of Terms of Provisions of the Act Applied Mutatis Mutandis to Commodity Derivatives Intermediary Service Providers)</w:t>
      </w:r>
    </w:p>
    <w:p w:rsidR="00E600EE" w:rsidRDefault="00B368A0">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E600EE" w:rsidRDefault="00E600EE"/>
    <w:p w:rsidR="00E600EE" w:rsidRDefault="00B368A0">
      <w:pPr>
        <w:pStyle w:val="ena"/>
      </w:pPr>
      <w:r>
        <w:t>(Entities Not Required to Formulate a Solicitation Policy)</w:t>
      </w:r>
    </w:p>
    <w:p w:rsidR="00E600EE" w:rsidRDefault="00B368A0">
      <w:pPr>
        <w:pStyle w:val="enf3"/>
      </w:pPr>
      <w:r>
        <w:t>Article 39  (1) The entity specified by Cabinet Order as stated in the proviso to Article 10, paragraph (1) of the Act on the Provision of and the Development of Environment for Using Financial Services as applied mutatis mutandis pursuant to the provisions of Article 240-19 of the Act is a corporation directly established by a law or a corporation established by a special act of incorporation pursuant to a special law, which is wholly owned by the national government or by a local government.</w:t>
      </w:r>
    </w:p>
    <w:p w:rsidR="00E600EE" w:rsidRDefault="00B368A0">
      <w:pPr>
        <w:pStyle w:val="enf4"/>
      </w:pPr>
      <w:r>
        <w:t>(2) The method specified by Cabinet Order prescribed in Article 10,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making the solicitation policy</w:t>
      </w:r>
      <w:r>
        <w:t xml:space="preserve"> available for public inspection by automatic public transmission, pursuant to the provisions of order of the competent ministry; and posting the solicitation policy in a clearly visible manner or providing the solicitation policy for public inspection at each branch office, etc. where acts of commodity derivatives intermediary service are performed, when the commodity derivatives intermediary service provider performs acts of commodity derivatives intermediary at the branch offices, etc.</w:t>
      </w:r>
    </w:p>
    <w:p w:rsidR="00E600EE" w:rsidRDefault="00E600EE"/>
    <w:p w:rsidR="00E600EE" w:rsidRDefault="00B368A0">
      <w:pPr>
        <w:pStyle w:val="ena"/>
      </w:pPr>
      <w:r>
        <w:t>(Deemed Replacement of Terms of Provisions of the Act on the Provision of and the Development of Environment for Using Financial Services Applied Mutatis Mutandis to Acts of Commodity Derivatives Intermediary Services Performed by Commodity Derivatives Intermediary Service Providers)</w:t>
      </w:r>
    </w:p>
    <w:p w:rsidR="00E600EE" w:rsidRDefault="00B368A0">
      <w:pPr>
        <w:pStyle w:val="enf3"/>
      </w:pPr>
      <w:r>
        <w:t>Article 40  When the provisions of Article 10, paragraph (1) of the Act on the Provision of and the Development of Environment for Using Financial Services are applied mutatis mutandis to acts of commodity derivatives intermediary services performed by commodity derivatives intermediary service providers pursuant to the provisions of Article 240-19 of the Act, the phrase "if the financial instruments provider, etc. is a national government, local government, or any other person specified by Cabinet Order as</w:t>
      </w:r>
      <w:r>
        <w:t xml:space="preserve"> one found unlikely to engage in improper solicitation of sales or a financial instruments provider, etc. that only has specified customers as its customers" in the proviso to that paragraph is deemed to be replaced with "if the financial instruments provider, etc. is a national government, local government, or any other person specified by Cabinet Order as one found unlikely to engage in improper solicitation of sales".</w:t>
      </w:r>
    </w:p>
    <w:p w:rsidR="00E600EE" w:rsidRDefault="00E600EE"/>
    <w:p w:rsidR="00E600EE" w:rsidRDefault="00B368A0">
      <w:pPr>
        <w:pStyle w:val="ena"/>
      </w:pPr>
      <w:r>
        <w:t>(Persons Excluded from Being General Requesting Parties)</w:t>
      </w:r>
    </w:p>
    <w:p w:rsidR="00E600EE" w:rsidRDefault="00B368A0">
      <w:pPr>
        <w:pStyle w:val="enf3"/>
      </w:pPr>
      <w:r>
        <w:t>Article 41  The person specified by Cabinet Order as referred to in Article 269, paragraph (1) of the Act is as follows:</w:t>
      </w:r>
    </w:p>
    <w:p w:rsidR="00E600EE" w:rsidRDefault="00B368A0">
      <w:pPr>
        <w:pStyle w:val="enf6"/>
      </w:pPr>
      <w:r>
        <w:t>(i) a commodity derivatives business operator;</w:t>
      </w:r>
    </w:p>
    <w:p w:rsidR="00E600EE" w:rsidRDefault="00B368A0">
      <w:pPr>
        <w:pStyle w:val="enf6"/>
      </w:pPr>
      <w:r>
        <w:t>(ii) a qualified institutional investor prescribed in Article 2, paragraph (3), item (i) of the Financial Instruments and Exchange Act;</w:t>
      </w:r>
    </w:p>
    <w:p w:rsidR="00E600EE" w:rsidRDefault="00B368A0">
      <w:pPr>
        <w:pStyle w:val="enf6"/>
      </w:pPr>
      <w:r>
        <w:t>(iii) a commodities investment advisor;</w:t>
      </w:r>
    </w:p>
    <w:p w:rsidR="00E600EE" w:rsidRDefault="00B368A0">
      <w:pPr>
        <w:pStyle w:val="enf6"/>
      </w:pPr>
      <w:r>
        <w:t>(iv) the national government;</w:t>
      </w:r>
    </w:p>
    <w:p w:rsidR="00E600EE" w:rsidRDefault="00B368A0">
      <w:pPr>
        <w:pStyle w:val="enf6"/>
      </w:pPr>
      <w:r>
        <w:t>(v) Bank of Japan;</w:t>
      </w:r>
    </w:p>
    <w:p w:rsidR="00E600EE" w:rsidRDefault="00B368A0">
      <w:pPr>
        <w:pStyle w:val="enf6"/>
      </w:pPr>
      <w:r>
        <w:t xml:space="preserve">(vi) a </w:t>
      </w:r>
      <w:r>
        <w:t>requesting party protection fund;</w:t>
      </w:r>
    </w:p>
    <w:p w:rsidR="00E600EE" w:rsidRDefault="00B368A0">
      <w:pPr>
        <w:pStyle w:val="enf6"/>
      </w:pPr>
      <w:r>
        <w:t>(vii) a foreign government or an entity equivalent to a person stated in the preceding three items under the laws and regulations of a foreign country;</w:t>
      </w:r>
    </w:p>
    <w:p w:rsidR="00E600EE" w:rsidRDefault="00B368A0">
      <w:pPr>
        <w:pStyle w:val="enf6"/>
      </w:pPr>
      <w:r>
        <w:t>(viii) in addition to the persons stated in the preceding items, a person designated by the competent minister.</w:t>
      </w:r>
    </w:p>
    <w:p w:rsidR="00E600EE" w:rsidRDefault="00E600EE"/>
    <w:p w:rsidR="00E600EE" w:rsidRDefault="00B368A0">
      <w:pPr>
        <w:pStyle w:val="ena"/>
      </w:pPr>
      <w:r>
        <w:t>(Notice to Requesting Party Protection Funds)</w:t>
      </w:r>
    </w:p>
    <w:p w:rsidR="00E600EE" w:rsidRDefault="00B368A0">
      <w:pPr>
        <w:pStyle w:val="enf3"/>
      </w:pPr>
      <w:r>
        <w:t>Article 42  The cases specified by Cabinet Order as referred to in Article 303, paragraph (1), item (vi) of the Act are as follows:</w:t>
      </w:r>
    </w:p>
    <w:p w:rsidR="00E600EE" w:rsidRDefault="00B368A0">
      <w:pPr>
        <w:pStyle w:val="enf6"/>
      </w:pPr>
      <w:r>
        <w:t>(i) when the member has failed to perform the following liability to a commodity exchange or a commodity clearing organization:</w:t>
      </w:r>
    </w:p>
    <w:p w:rsidR="00E600EE" w:rsidRDefault="00B368A0">
      <w:pPr>
        <w:pStyle w:val="enf9"/>
      </w:pPr>
      <w:r>
        <w:t>(a) monetary debt; and</w:t>
      </w:r>
    </w:p>
    <w:p w:rsidR="00E600EE" w:rsidRDefault="00B368A0">
      <w:pPr>
        <w:pStyle w:val="enf9"/>
      </w:pPr>
      <w:r>
        <w:t>(b) delivery of commodities for settlement; and</w:t>
      </w:r>
    </w:p>
    <w:p w:rsidR="00E600EE" w:rsidRDefault="00B368A0">
      <w:pPr>
        <w:pStyle w:val="enf6"/>
      </w:pPr>
      <w:r>
        <w:t>(ii) when the member has been rendered a disposition to suspend transactions given by a clearing house.</w:t>
      </w:r>
    </w:p>
    <w:p w:rsidR="00E600EE" w:rsidRDefault="00E600EE"/>
    <w:p w:rsidR="00E600EE" w:rsidRDefault="00B368A0">
      <w:pPr>
        <w:pStyle w:val="ena"/>
      </w:pPr>
      <w:r>
        <w:t>(Matters Subject to Public Notice Related to Payment by Consignor Protection Funds)</w:t>
      </w:r>
    </w:p>
    <w:p w:rsidR="00E600EE" w:rsidRDefault="00B368A0">
      <w:pPr>
        <w:pStyle w:val="enf3"/>
      </w:pPr>
      <w:r>
        <w:t>Article 43  The matters specified by Cabinet Order as referred to in Article 305, paragraph (1) of the Act are as follows:</w:t>
      </w:r>
    </w:p>
    <w:p w:rsidR="00E600EE" w:rsidRDefault="00B368A0">
      <w:pPr>
        <w:pStyle w:val="enf6"/>
      </w:pPr>
      <w:r>
        <w:t>(i) the trade name or name of a commodity derivatives broker that has received the certification referred to in Article 304 of the Act;</w:t>
      </w:r>
    </w:p>
    <w:p w:rsidR="00E600EE" w:rsidRDefault="00B368A0">
      <w:pPr>
        <w:pStyle w:val="enf6"/>
      </w:pPr>
      <w:r>
        <w:t>(ii) the method of making a request referred to in Article 306, paragraph (1) of the Act;</w:t>
      </w:r>
    </w:p>
    <w:p w:rsidR="00E600EE" w:rsidRDefault="00B368A0">
      <w:pPr>
        <w:pStyle w:val="enf6"/>
      </w:pPr>
      <w:r>
        <w:t>(iii) the period, place, and method of the payment of the amount referred to in Article 306, paragraph (1) of the Act;</w:t>
      </w:r>
    </w:p>
    <w:p w:rsidR="00E600EE" w:rsidRDefault="00B368A0">
      <w:pPr>
        <w:pStyle w:val="enf6"/>
      </w:pPr>
      <w:r>
        <w:t>(iv) documents and other articles which a requesting party is required to submit or present to the requesting party protection fund when making a request referred to in Article 306, paragraph (1); and</w:t>
      </w:r>
    </w:p>
    <w:p w:rsidR="00E600EE" w:rsidRDefault="00B368A0">
      <w:pPr>
        <w:pStyle w:val="enf6"/>
      </w:pPr>
      <w:r>
        <w:t>(v) any other matters that the requesting party protection fund finds necessary.</w:t>
      </w:r>
    </w:p>
    <w:p w:rsidR="00E600EE" w:rsidRDefault="00E600EE"/>
    <w:p w:rsidR="00E600EE" w:rsidRDefault="00B368A0">
      <w:pPr>
        <w:pStyle w:val="ena"/>
      </w:pPr>
      <w:r>
        <w:t>(Reasons for Changing Periods of Notification)</w:t>
      </w:r>
    </w:p>
    <w:p w:rsidR="00E600EE" w:rsidRDefault="00B368A0">
      <w:pPr>
        <w:pStyle w:val="enf3"/>
      </w:pPr>
      <w:r>
        <w:t>Article 44  The reasons specified by Cabinet Order as referred to in Article 305, paragraph (2) of the Act are as follows:</w:t>
      </w:r>
    </w:p>
    <w:p w:rsidR="00E600EE" w:rsidRDefault="00B368A0">
      <w:pPr>
        <w:pStyle w:val="enf6"/>
      </w:pPr>
      <w:r>
        <w:t>(i) a public notice under the provisions of Article 197, paragraph (1) of the Bankruptcy Act (Act No. 75 of 2004) (including as applied mutatis mutandis pursuant to Article 209, paragraph (3) of that Act) has been given;</w:t>
      </w:r>
    </w:p>
    <w:p w:rsidR="00E600EE" w:rsidRDefault="00B368A0">
      <w:pPr>
        <w:pStyle w:val="enf6"/>
      </w:pPr>
      <w:r>
        <w:t>(ii) a notice under the provisions of Article 305, paragraph (5) of the Act has been given;</w:t>
      </w:r>
    </w:p>
    <w:p w:rsidR="00E600EE" w:rsidRDefault="00B368A0">
      <w:pPr>
        <w:pStyle w:val="enf6"/>
      </w:pPr>
      <w:r>
        <w:t>(iii) a decision of approval of a reorganization plan pursuant to the provisions of Article 199, paragraph (1) of the Corporate Reorganization Act (Act No. 154 of 2002) has been made; or</w:t>
      </w:r>
    </w:p>
    <w:p w:rsidR="00E600EE" w:rsidRDefault="00B368A0">
      <w:pPr>
        <w:pStyle w:val="enf6"/>
      </w:pPr>
      <w:r>
        <w:t>(iv) a decision of approval of a rehabilitation plan pursuant to the provisions of Article 174, paragraph (1) of the Civil Rehabilitation Act (Act No. 225 of 1999) has been made.</w:t>
      </w:r>
    </w:p>
    <w:p w:rsidR="00E600EE" w:rsidRDefault="00E600EE"/>
    <w:p w:rsidR="00E600EE" w:rsidRDefault="00B368A0">
      <w:pPr>
        <w:pStyle w:val="ena"/>
      </w:pPr>
      <w:r>
        <w:t>(Claims Whose Smooth Repayment Are Found Difficult)</w:t>
      </w:r>
    </w:p>
    <w:p w:rsidR="00E600EE" w:rsidRDefault="00B368A0">
      <w:pPr>
        <w:pStyle w:val="enf3"/>
      </w:pPr>
      <w:r>
        <w:t>Article 45  The claims which a general requesting party has against a certified commodity derivatives broker (limited to those related to the requesting party assets of the general requesting party) and whose smooth repayment by the certified commodity derivatives broker is found to be difficult by the requesting party protection fund pursuant to the provisions of Cabinet Order as referred to in Article 306, paragraph (1) of the Act are the claims whose complete repayment is found impossible or to require a</w:t>
      </w:r>
      <w:r>
        <w:t xml:space="preserve"> considerable number of days for repayment in light of the status of the property of the certified commodity derivatives broker and the status of performance of the duty of preservation pursuant to the provisions of Article 210, item (i) of the Act.</w:t>
      </w:r>
    </w:p>
    <w:p w:rsidR="00E600EE" w:rsidRDefault="00E600EE"/>
    <w:p w:rsidR="00E600EE" w:rsidRDefault="00B368A0">
      <w:pPr>
        <w:pStyle w:val="ena"/>
      </w:pPr>
      <w:r>
        <w:t xml:space="preserve">(Persons Excluded from Payment by </w:t>
      </w:r>
      <w:r>
        <w:t>Requesting Party Protection Funds)</w:t>
      </w:r>
    </w:p>
    <w:p w:rsidR="00E600EE" w:rsidRDefault="00B368A0">
      <w:pPr>
        <w:pStyle w:val="enf3"/>
      </w:pPr>
      <w:r>
        <w:t>Article 46  The persons specified by Cabinet Order as referred to in Article 306, paragraph (2) of the Act are as follows:</w:t>
      </w:r>
    </w:p>
    <w:p w:rsidR="00E600EE" w:rsidRDefault="00B368A0">
      <w:pPr>
        <w:pStyle w:val="enf6"/>
      </w:pPr>
      <w:r>
        <w:t>(i) an officer of a certified commodity derivatives broker (including a person who supervises the business of a business office or office in Japan, for a corporation established in compliance with the laws and regulations of a foreign country or a person that has an address in a foreign country);</w:t>
      </w:r>
    </w:p>
    <w:p w:rsidR="00E600EE" w:rsidRDefault="00B368A0">
      <w:pPr>
        <w:pStyle w:val="enf6"/>
      </w:pPr>
      <w:r>
        <w:t>(ii) a corporation over which a certified commodity derivatives broker has a controlling relationship;</w:t>
      </w:r>
    </w:p>
    <w:p w:rsidR="00E600EE" w:rsidRDefault="00B368A0">
      <w:pPr>
        <w:pStyle w:val="enf6"/>
      </w:pPr>
      <w:r>
        <w:t>(iii) a corporation that has a controlling relationship over a commodity derivatives broker;</w:t>
      </w:r>
    </w:p>
    <w:p w:rsidR="00E600EE" w:rsidRDefault="00B368A0">
      <w:pPr>
        <w:pStyle w:val="enf6"/>
      </w:pPr>
      <w:r>
        <w:t>(iv) a general requesting party who holds requesting party assets under the name of another person (including a temporary establisher; the same applies below in this item) (limited to the case in which a person makes a payment of claims subject to compensation related to requesting party assets which they hold under the name of the other person); and</w:t>
      </w:r>
    </w:p>
    <w:p w:rsidR="00E600EE" w:rsidRDefault="00B368A0">
      <w:pPr>
        <w:pStyle w:val="enf6"/>
      </w:pPr>
      <w:r>
        <w:t>(v) in addition to the persons stated in the preceding items, a person designated by the competent minister.</w:t>
      </w:r>
    </w:p>
    <w:p w:rsidR="00E600EE" w:rsidRDefault="00E600EE"/>
    <w:p w:rsidR="00E600EE" w:rsidRDefault="00B368A0">
      <w:pPr>
        <w:pStyle w:val="ena"/>
      </w:pPr>
      <w:r>
        <w:t>(Maximum Amount of Payment by Requesting Party Protection Funds)</w:t>
      </w:r>
    </w:p>
    <w:p w:rsidR="00E600EE" w:rsidRDefault="00B368A0">
      <w:pPr>
        <w:pStyle w:val="enf3"/>
      </w:pPr>
      <w:r>
        <w:t>Article 47  The amount of money specified by Cabinet Order as referred to in Article 307, paragraph (3) of the Act is 10 million yen.</w:t>
      </w:r>
    </w:p>
    <w:p w:rsidR="00E600EE" w:rsidRDefault="00E600EE"/>
    <w:p w:rsidR="00E600EE" w:rsidRDefault="00B368A0">
      <w:pPr>
        <w:pStyle w:val="ena"/>
      </w:pPr>
      <w:r>
        <w:t>(Acquisition of Claims to Be Compensated)</w:t>
      </w:r>
    </w:p>
    <w:p w:rsidR="00E600EE" w:rsidRDefault="00B368A0">
      <w:pPr>
        <w:pStyle w:val="enf3"/>
      </w:pPr>
      <w:r>
        <w:t>Article 48  (1) If the amount of money required to be paid by a requesting party protection fund pursuant to the provisions of Article 306, paragraph (1) and Article 307, paragraphs (1) and (3) of the Act is the same as the amount of the claims to be compensated related to the payment, the fund is to acquire all of the claims to be compensated.</w:t>
      </w:r>
    </w:p>
    <w:p w:rsidR="00E600EE" w:rsidRDefault="00B368A0">
      <w:pPr>
        <w:pStyle w:val="enf4"/>
      </w:pPr>
      <w:r>
        <w:t>(2) If the amount of money required to be paid referred to in the preceding paragraph is less than the amount of the claims to be compensated related to the payment, the requesting party protection fund is to acquire the part of the claims to be compensated designated by the fund.</w:t>
      </w:r>
    </w:p>
    <w:p w:rsidR="00E600EE" w:rsidRDefault="00E600EE"/>
    <w:p w:rsidR="00E600EE" w:rsidRDefault="00B368A0">
      <w:pPr>
        <w:pStyle w:val="ena"/>
      </w:pPr>
      <w:r>
        <w:t>(Exemption from Prohibition of Establishment of Facilities Similar to Commodity Markets)</w:t>
      </w:r>
    </w:p>
    <w:p w:rsidR="00E600EE" w:rsidRDefault="00B368A0">
      <w:pPr>
        <w:pStyle w:val="enf3"/>
      </w:pPr>
      <w:r>
        <w:t>Article 49  The requirements specified by Cabinet Order as referred to in Article 331, item (i) are as follows:</w:t>
      </w:r>
    </w:p>
    <w:p w:rsidR="00E600EE" w:rsidRDefault="00B368A0">
      <w:pPr>
        <w:pStyle w:val="enf6"/>
      </w:pPr>
      <w:r>
        <w:t>(i) the facility is one in which only a person that engages in the course of trade in the purchase and sale, etc. of goods or electric power subject to the commodities or commodity indices (meaning the commodities or the commodity indices prescribed in Article 331, item (i) of the Act) conduct transactions similar to futures transactions related to goods or electric power subject to the commodities or commodity indices; and</w:t>
      </w:r>
    </w:p>
    <w:p w:rsidR="00E600EE" w:rsidRDefault="00B368A0">
      <w:pPr>
        <w:pStyle w:val="enf6"/>
      </w:pPr>
      <w:r>
        <w:t>(ii) the facility is one in which persons who conduct transactions similar to futures transactions, conduct transactions similar to the futures transactions without receiving a request.</w:t>
      </w:r>
    </w:p>
    <w:p w:rsidR="00E600EE" w:rsidRDefault="00E600EE"/>
    <w:p w:rsidR="00E600EE" w:rsidRDefault="00B368A0">
      <w:pPr>
        <w:pStyle w:val="ena"/>
      </w:pPr>
      <w:r>
        <w:t>(License for Establishment of Facilities Similar to Type 1 Specified Commodity Markets)</w:t>
      </w:r>
    </w:p>
    <w:p w:rsidR="00E600EE" w:rsidRDefault="00B368A0">
      <w:pPr>
        <w:pStyle w:val="enf3"/>
      </w:pPr>
      <w:r>
        <w:t>Article 50  The requirements specified by Cabinet Order as referred to in Article 332, paragraph (1) are as follows:</w:t>
      </w:r>
    </w:p>
    <w:p w:rsidR="00E600EE" w:rsidRDefault="00B368A0">
      <w:pPr>
        <w:pStyle w:val="enf6"/>
      </w:pPr>
      <w:r>
        <w:t>(i) the facility is one in which only a person who engages in the course of trade in the purchase and sale, etc. of goods or electric power subject to commodities or commodity indices (meaning the commodities and the commodity indices prescribed in Article 332, paragraph (1) of the Act) or a person prescribed in the following Article conducts transactions similar to futures transactions related to goods or electric power subject to the commodities or commodity indices by a method prescribed in item (i) of t</w:t>
      </w:r>
      <w:r>
        <w:t>hat paragraph (excluding the facility prescribed in item (i) of the preceding Article); and</w:t>
      </w:r>
    </w:p>
    <w:p w:rsidR="00E600EE" w:rsidRDefault="00B368A0">
      <w:pPr>
        <w:pStyle w:val="enf6"/>
      </w:pPr>
      <w:r>
        <w:t>(ii) the facility is one in which a person that conducts transactions similar to futures transactions, conduct transactions similar to the futures transactions without receiving a request.</w:t>
      </w:r>
    </w:p>
    <w:p w:rsidR="00E600EE" w:rsidRDefault="00E600EE"/>
    <w:p w:rsidR="00E600EE" w:rsidRDefault="00B368A0">
      <w:pPr>
        <w:pStyle w:val="ena"/>
      </w:pPr>
      <w:r>
        <w:t>(Persons Specified by Cabinet Order as Referred to in Article 332, Paragraph (1), Item (iii) of the Act)</w:t>
      </w:r>
    </w:p>
    <w:p w:rsidR="00E600EE" w:rsidRDefault="00B368A0">
      <w:pPr>
        <w:pStyle w:val="enf3"/>
      </w:pPr>
      <w:r>
        <w:t>Article 51  The persons specified by Cabinet Order as referred to in Article 332, paragraph (1), item (iii) and Article 342, paragraph (1), item (iii) of the Act are as follows:</w:t>
      </w:r>
    </w:p>
    <w:p w:rsidR="00E600EE" w:rsidRDefault="00B368A0">
      <w:pPr>
        <w:pStyle w:val="enf6"/>
      </w:pPr>
      <w:r>
        <w:t xml:space="preserve">(i) a </w:t>
      </w:r>
      <w:r>
        <w:t>bank;</w:t>
      </w:r>
    </w:p>
    <w:p w:rsidR="00E600EE" w:rsidRDefault="00B368A0">
      <w:pPr>
        <w:pStyle w:val="enf6"/>
      </w:pPr>
      <w:r>
        <w:t>(ii) a financial instruments broker prescribed in Article 2, paragraph (9) of the Financial Instruments and Exchange Act (limited to a person who conducts type I financial instruments business prescribed in Article 28, paragraph (1) of that Act);</w:t>
      </w:r>
    </w:p>
    <w:p w:rsidR="00E600EE" w:rsidRDefault="00B368A0">
      <w:pPr>
        <w:pStyle w:val="enf6"/>
      </w:pPr>
      <w:r>
        <w:t>(iii) The Shoko Chukin Bank, Ltd.;</w:t>
      </w:r>
    </w:p>
    <w:p w:rsidR="00E600EE" w:rsidRDefault="00B368A0">
      <w:pPr>
        <w:pStyle w:val="enf6"/>
      </w:pPr>
      <w:r>
        <w:t>(iv) Development Bank of Japan Inc.;</w:t>
      </w:r>
    </w:p>
    <w:p w:rsidR="00E600EE" w:rsidRDefault="00B368A0">
      <w:pPr>
        <w:pStyle w:val="enf6"/>
      </w:pPr>
      <w:r>
        <w:t>(v) Shinkin Banks and the federation of Shinkin Banks;</w:t>
      </w:r>
    </w:p>
    <w:p w:rsidR="00E600EE" w:rsidRDefault="00B368A0">
      <w:pPr>
        <w:pStyle w:val="enf6"/>
      </w:pPr>
      <w:r>
        <w:t>(vi) credit cooperatives or the federation of credit cooperatives that engages in the business referred to in Article 9-9, paragraph (1), item (i) of the Small and Medium-Sized Enterprise Cooperatives Act;</w:t>
      </w:r>
    </w:p>
    <w:p w:rsidR="00E600EE" w:rsidRDefault="00B368A0">
      <w:pPr>
        <w:pStyle w:val="enf6"/>
      </w:pPr>
      <w:r>
        <w:t>(vii) labor banks or the federation of labor banks;</w:t>
      </w:r>
    </w:p>
    <w:p w:rsidR="00E600EE" w:rsidRDefault="00B368A0">
      <w:pPr>
        <w:pStyle w:val="enf6"/>
      </w:pPr>
      <w:r>
        <w:t>(viii) The Norinchukin Bank;</w:t>
      </w:r>
    </w:p>
    <w:p w:rsidR="00E600EE" w:rsidRDefault="00B368A0">
      <w:pPr>
        <w:pStyle w:val="enf6"/>
      </w:pPr>
      <w:r>
        <w:t>(ix) agricultural cooperatives and the federation of agricultural cooperatives that engages in the business referred to in Article 10, paragraph (1), item (iii) of the Agricultural Cooperatives Act; and</w:t>
      </w:r>
    </w:p>
    <w:p w:rsidR="00E600EE" w:rsidRDefault="00B368A0">
      <w:pPr>
        <w:pStyle w:val="enf6"/>
      </w:pPr>
      <w:r>
        <w:t>(x) insurance companies and foreign insurance companies, etc. prescribed in Article 2, paragraph (7) of the Insurance Business Act.</w:t>
      </w:r>
    </w:p>
    <w:p w:rsidR="00E600EE" w:rsidRDefault="00E600EE"/>
    <w:p w:rsidR="00E600EE" w:rsidRDefault="00B368A0">
      <w:pPr>
        <w:pStyle w:val="ena"/>
      </w:pPr>
      <w:r>
        <w:t>(License for Establishment of Facilities Similar to Type 2 Specified Commodity Markets)</w:t>
      </w:r>
    </w:p>
    <w:p w:rsidR="00E600EE" w:rsidRDefault="00B368A0">
      <w:pPr>
        <w:pStyle w:val="enf3"/>
      </w:pPr>
      <w:r>
        <w:t>Article 52  The requirements specified by Cabinet Order as referred to in Article 342, paragraph (1) are as follows:</w:t>
      </w:r>
    </w:p>
    <w:p w:rsidR="00E600EE" w:rsidRDefault="00B368A0">
      <w:pPr>
        <w:pStyle w:val="enf6"/>
      </w:pPr>
      <w:r>
        <w:t>(i) the facility is one in which only a person that engages in the course of trade in the purchase and sale, etc. of goods or electric power subject to commodities or commodity indices (meaning the commodities or the commodity indices prescribed in Article 342, paragraph (1) of the Act) or a person prescribed in the preceding Article conduct transactions similar to futures transactions related to goods or electric power subject to the commodities or commodity indices by a method prescribed in item (i) of th</w:t>
      </w:r>
      <w:r>
        <w:t>at paragraph; and</w:t>
      </w:r>
    </w:p>
    <w:p w:rsidR="00E600EE" w:rsidRDefault="00B368A0">
      <w:pPr>
        <w:pStyle w:val="enf6"/>
      </w:pPr>
      <w:r>
        <w:t>(ii) the facility is one in which a person that conducts transactions similar to futures transactions, conducts transactions similar to the futures transactions without receiving a request.</w:t>
      </w:r>
    </w:p>
    <w:p w:rsidR="00E600EE" w:rsidRDefault="00E600EE"/>
    <w:p w:rsidR="00E600EE" w:rsidRDefault="00B368A0">
      <w:pPr>
        <w:pStyle w:val="ena"/>
      </w:pPr>
      <w:r>
        <w:t>(Consultations)</w:t>
      </w:r>
    </w:p>
    <w:p w:rsidR="00E600EE" w:rsidRDefault="00B368A0">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E600EE" w:rsidRDefault="00E600EE"/>
    <w:p w:rsidR="00E600EE" w:rsidRDefault="00B368A0">
      <w:pPr>
        <w:pStyle w:val="ena"/>
      </w:pPr>
      <w:r>
        <w:t>(Costs Paid to Witnesses)</w:t>
      </w:r>
    </w:p>
    <w:p w:rsidR="00E600EE" w:rsidRDefault="00B368A0">
      <w:pPr>
        <w:pStyle w:val="enf3"/>
      </w:pPr>
      <w:r>
        <w:t>Article 54  (1) Train fares, boat fares, vehicle fares, a daily allowance, or accommodation fees are paid to a witness or an expert pursuant to the Act on Travel Expenses of National Public Officers (Act No. 114 of 1950), pursuant to the provisions of Article 350 of the Act.</w:t>
      </w:r>
    </w:p>
    <w:p w:rsidR="00E600EE" w:rsidRDefault="00B368A0">
      <w:pPr>
        <w:pStyle w:val="enf4"/>
      </w:pPr>
      <w:r>
        <w:t xml:space="preserve">(2) A reasonable amount of fee for expert testimony may be paid to the expert in addition to the expenses paid pursuant to the provisions of the preceding paragraph if special costs for expert testimony were required for an expert and the competent minister (when the director-general of a regional agricultural administration office or the director-general of a bureau of economy, trade and industry has exercised the authority of the competent minister pursuant to the provisions of Article 158, paragraph (2) </w:t>
      </w:r>
      <w:r>
        <w:t>of the Act as applied mutatis mutandis pursuant to Article 237 and Article 240-25 of the Act, pursuant to the provisions of Article 57, paragraph (1), the director-general of a regional agricultural administration office or the director-general of a bureau of economy, trade and industry) finds it necessary to do so.</w:t>
      </w:r>
    </w:p>
    <w:p w:rsidR="00E600EE" w:rsidRDefault="00E600EE"/>
    <w:p w:rsidR="00E600EE" w:rsidRDefault="00B368A0">
      <w:pPr>
        <w:pStyle w:val="ena"/>
      </w:pPr>
      <w:r>
        <w:t>(Technical Replacement of Terms in Applying the Provisions of the Act to Foreign Corporations)</w:t>
      </w:r>
    </w:p>
    <w:p w:rsidR="00E600EE" w:rsidRDefault="00B368A0">
      <w:pPr>
        <w:pStyle w:val="enf3"/>
      </w:pPr>
      <w:r>
        <w:t>Article 55  The technical replacement of terms concerning the application of the provisions of the Act to a commodity derivatives broker that is a corporation established in compliance with the laws and regulations of a foreign country or that has an address in a foreign country, is as in the following table.</w:t>
      </w:r>
    </w:p>
    <w:p w:rsidR="00E600EE" w:rsidRDefault="00E600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Term to Be Replaced with</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head office and principal business offices or 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Article 192, paragraph (1), item </w:t>
            </w:r>
            <w:r>
              <w:t>(iv)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officers and persons who supervise the business of business offices or 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license applicant and their business offices or 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license applicant and their business offices or offices in Japan in light of their personnel structure</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files a petition to commence bankruptcy proceedings, rehabilitation proceedings, or reorganization proceedings, or files a pettion for approval of foreign insolvency proceedings</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600EE" w:rsidRDefault="00B368A0">
            <w:pPr>
              <w:pStyle w:val="jaen"/>
            </w:pP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is dissolved (including when the business operator commences liquidation of business offices or offices in Japan)</w:t>
            </w:r>
          </w:p>
        </w:tc>
      </w:tr>
      <w:tr w:rsidR="00E600E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600EE" w:rsidRDefault="00E600E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the liquidator or a person equivalent to a liquidator in the country where the head office or principal office is located</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all of their business offices or 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business offices or </w:t>
            </w:r>
            <w:r>
              <w:t>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person supervising business in the business offices or 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 xml:space="preserve">all of their business offices or </w:t>
            </w:r>
            <w:r>
              <w:t>offices in Japan</w:t>
            </w:r>
          </w:p>
        </w:tc>
      </w:tr>
      <w:tr w:rsidR="00E600E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00EE" w:rsidRDefault="00B368A0">
            <w:pPr>
              <w:pStyle w:val="jaen"/>
            </w:pPr>
            <w:r>
              <w:t>when they file a petition to commence bankruptcy proceedings, rehabilitation proceedings, reorganization proceedings, or special liquidation, or file a petition for approval of foreign insolvency proceedings</w:t>
            </w:r>
          </w:p>
        </w:tc>
      </w:tr>
    </w:tbl>
    <w:p w:rsidR="00E600EE" w:rsidRDefault="00E600EE"/>
    <w:p w:rsidR="00E600EE" w:rsidRDefault="00B368A0">
      <w:pPr>
        <w:pStyle w:val="ena"/>
      </w:pPr>
      <w:r>
        <w:t>(Designation of Commodities Related to the Ministry of Agriculture, Forestry and Fisheries)</w:t>
      </w:r>
    </w:p>
    <w:p w:rsidR="00E600EE" w:rsidRDefault="00B368A0">
      <w:pPr>
        <w:pStyle w:val="enf3"/>
      </w:pPr>
      <w:r>
        <w:t>Article 56  The commodities specified by Cabinet Order as referred to in Article 354, paragraph (1), item (i) of the Act are as follows:</w:t>
      </w:r>
    </w:p>
    <w:p w:rsidR="00E600EE" w:rsidRDefault="00B368A0">
      <w:pPr>
        <w:pStyle w:val="enf6"/>
      </w:pPr>
      <w:r>
        <w:t>(i) Agricultural products, forest products, livestock products, fishery products and goods manufactured or processed by using these products as materials or ingredients and which are edible or potable;</w:t>
      </w:r>
    </w:p>
    <w:p w:rsidR="00E600EE" w:rsidRDefault="00B368A0">
      <w:pPr>
        <w:pStyle w:val="enf6"/>
      </w:pPr>
      <w:r>
        <w:t>(ii) goods stated in Article 1, paragraph (1), items (i) through (v), item (ix), item (x), and item (xiv).</w:t>
      </w:r>
    </w:p>
    <w:p w:rsidR="00E600EE" w:rsidRDefault="00E600EE"/>
    <w:p w:rsidR="00E600EE" w:rsidRDefault="00B368A0">
      <w:pPr>
        <w:pStyle w:val="ena"/>
      </w:pPr>
      <w:r>
        <w:t>(Delegation of Authority)</w:t>
      </w:r>
    </w:p>
    <w:p w:rsidR="00E600EE" w:rsidRDefault="00B368A0">
      <w:pPr>
        <w:pStyle w:val="enf3"/>
      </w:pPr>
      <w:r>
        <w:t xml:space="preserve">Article 57  (1) The authority of the competent minister under the </w:t>
      </w:r>
      <w:r>
        <w:t xml:space="preserve">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240-17 and Article 349, paragraph (3), Article 240-22, paragraphs (1) </w:t>
      </w:r>
      <w:r>
        <w:t>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stated in the following items is to be exercised by the persons prescribed in each of those items; provided, however, that this does not preclude the competent minist</w:t>
      </w:r>
      <w:r>
        <w:t>er from personally exercising the authority:</w:t>
      </w:r>
    </w:p>
    <w:p w:rsidR="00E600EE" w:rsidRDefault="00B368A0">
      <w:pPr>
        <w:pStyle w:val="enf6"/>
      </w:pPr>
      <w:r>
        <w:t>(i) the authority of the Minister of Agriculture, Forestry and Fisheries concerning a commodity exchange which has established only commodity markets related to the Ministry of Agriculture, Forestry and Fisheries or its members, etc.: the director-general of a regional agricultural administration office who has jurisdiction over the locality of the principal office or the head office of the commodity exchange;</w:t>
      </w:r>
    </w:p>
    <w:p w:rsidR="00E600EE" w:rsidRDefault="00B368A0">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E600EE" w:rsidRDefault="00B368A0">
      <w:pPr>
        <w:pStyle w:val="enf6"/>
      </w:pPr>
      <w:r>
        <w:t>(iii) the authority of the Minister of Agriculture, Forestry and Fisheries or the Minister of Economy, Trade and Industry concerning a commodity exchange other than those prescribed in the preceding two items or its members, etc.: the director-general of a regional agricultural administration office or the director-general of a bureau of economy, trade and industry who has jurisdiction over the locality of the principal office or the head office of the commodity exchange;</w:t>
      </w:r>
    </w:p>
    <w:p w:rsidR="00E600EE" w:rsidRDefault="00B368A0">
      <w:pPr>
        <w:pStyle w:val="enf6"/>
      </w:pPr>
      <w:r>
        <w:t>(iv) the authority of the Minister of Agriculture, Forestry and Fisheries and the Minister of Economy, Trade and Industry concerning commodity derivatives brokers: the director-general of a regional agricultural administration office or the director-general of a bureau of economy, trade and industry who has jurisdiction over the locality of the head office, etc. of the commodity derivatives broker;</w:t>
      </w:r>
    </w:p>
    <w:p w:rsidR="00E600EE" w:rsidRDefault="00B368A0">
      <w:pPr>
        <w:pStyle w:val="enf6"/>
      </w:pPr>
      <w:r>
        <w:t>(v) the authority of the Minister of Agriculture, Forestry and Fisheries or the Minister of Economy, Trade and Industry concerning commodity derivatives intermediary service providers: the director-general of a regional agricultural administration office or the director-general of a bureau of economy, trade and industry who has jurisdiction over the locality of the head office, etc. of the commodity derivatives intermediary service provider;</w:t>
      </w:r>
    </w:p>
    <w:p w:rsidR="00E600EE" w:rsidRDefault="00B368A0">
      <w:pPr>
        <w:pStyle w:val="enf6"/>
      </w:pPr>
      <w:r>
        <w:t>(vi) the authority of the Minister of Agriculture, Forestry and Fisheries concerning specified over-the-counter commodity derivatives brokers related to specified over-the-counter commodity derivatives transactions whose underlying goods are only commodities related to the Ministry of Agriculture, Forestry and Fisheries: the director-general of a regional agricultural administration office who has jurisdiction over the locality of the head office, etc. of those specified over-the-counter commodity derivativ</w:t>
      </w:r>
      <w:r>
        <w:t>es broker;</w:t>
      </w:r>
    </w:p>
    <w:p w:rsidR="00E600EE" w:rsidRDefault="00B368A0">
      <w:pPr>
        <w:pStyle w:val="enf6"/>
      </w:pPr>
      <w:r>
        <w:t>(vii) the authority of the Minister of Economy, Trade and Industry concerning specified over-the-counter commodity derivatives brokers related to specified over-the-counter commodity derivatives transactions whose underlying goods only commodities related to the Ministry of Economy, Trade and Industry: the director-general of a regional agricultural administration office who has jurisdiction over the locality of the head office, etc. of the specified over-the-counter commodity derivatives brokers; and;</w:t>
      </w:r>
    </w:p>
    <w:p w:rsidR="00E600EE" w:rsidRDefault="00B368A0">
      <w:pPr>
        <w:pStyle w:val="enf6"/>
      </w:pPr>
      <w:r>
        <w:t>(viii) the authority of the Minister of Agriculture, Forestry and Fisheries or the Minister of Economy, Trade and Industry concerning specified over-the-counter commodity derivatives brokers other than those prescribed in the preceding two items: the director-general of a regional agricultural administration office or the director-general of a bureau of economy, trade and industry who has jurisdiction over the location of the head office, etc. of such specified over-the-counter commodity derivatives brokers</w:t>
      </w:r>
      <w:r>
        <w:t>.</w:t>
      </w:r>
    </w:p>
    <w:p w:rsidR="00E600EE" w:rsidRDefault="00B368A0">
      <w:pPr>
        <w:pStyle w:val="enf4"/>
      </w:pPr>
      <w:r>
        <w:t>(2) The authority under the provisions of Article 231, paragraphs (1) through (3) of the Act (excluding the authority for on-site inspections of the Minister of Agriculture, Forestry and Fisheries under the provisions of paragraphs (1) and (3) of that Article) concerning branch offices, etc. of commodity derivatives brokers may be exercised by the director-general of a regional agricultural administration office or the director-general of a bureau of economy, trade and industry who has jurisdiction over the</w:t>
      </w:r>
      <w:r>
        <w:t xml:space="preserve"> locality of the branch offices, etc., in addition to the director-general of a regional agricultural administration office or the director-general of a bureau of economy, trade and industry prescribed in item (iv) of the preceding paragraph.</w:t>
      </w:r>
    </w:p>
    <w:p w:rsidR="00E600EE" w:rsidRDefault="00B368A0">
      <w:pPr>
        <w:pStyle w:val="enf4"/>
      </w:pPr>
      <w:r>
        <w:t>(3) The director-general of a regional agricultural administration office or the director-general of a bureau of economy, trade and industry who has issued an order to submit a report or materials under the provisions of Article 231, paragraph (1) of the Act (referred to below as an "order" in this paragraph) to branch offices, etc. of a commodity derivatives broker pursuant to the provisions of the preceding paragraph may issue an order to branch offices, etc. other than the head office, etc. or the branch</w:t>
      </w:r>
      <w:r>
        <w:t xml:space="preserve"> offices, etc. of the commodity derivatives broker, if the director-general finds this necessary.</w:t>
      </w:r>
    </w:p>
    <w:p w:rsidR="00E600EE" w:rsidRDefault="00B368A0">
      <w:pPr>
        <w:pStyle w:val="enf4"/>
      </w:pPr>
      <w:r>
        <w:t xml:space="preserve">(4) The director-general of a bureau of economy, trade and industry who has conducted an on-site inspection under Article 231, paragraph (1) of the Act (referred to below as an "on-site inspection" in this paragraph) for branch offices, etc. of a commodity derivatives broker pursuant to the provisions of paragraph (2) may conduct an on-site inspection for branch offices, etc. other than the head office, etc. or the branch offices, etc. of the commodity derivatives broker, if the director-general finds this </w:t>
      </w:r>
      <w:r>
        <w:t>necessary.</w:t>
      </w:r>
    </w:p>
    <w:p w:rsidR="00E600EE" w:rsidRDefault="00B368A0">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director-general of a regional agricultural administration office or the director-general of a bureau of economy, trade and industry who has jurisdi</w:t>
      </w:r>
      <w:r>
        <w:t>ction over the locality of the branch offices, etc., in addition to the director-general of a regional agricultural administration office or the director-general of a bureau of economy, trade and industry prescribed in paragraph (1), item (v).</w:t>
      </w:r>
    </w:p>
    <w:p w:rsidR="00E600EE" w:rsidRDefault="00B368A0">
      <w:pPr>
        <w:pStyle w:val="enf4"/>
      </w:pPr>
      <w:r>
        <w:t>(6) The director-general of a regional agricultural administration office or the director-general of a bureau of economy, trade and industry who has issued an order to submit a report or materials under Article 240-22, paragraph (1) of the Act (referred to below as an "order" in this paragraph) to branch offices, etc. of a commodity derivatives intermediary service provider pursuant to the provisions of the preceding paragraph may issue an order to branch offices, etc. other than the head office, etc. or th</w:t>
      </w:r>
      <w:r>
        <w:t>e branch offices, etc. of the commodity derivatives intermediary service provider, if the director-general finds this necessary.</w:t>
      </w:r>
    </w:p>
    <w:p w:rsidR="00E600EE" w:rsidRDefault="00B368A0">
      <w:pPr>
        <w:pStyle w:val="enf4"/>
      </w:pPr>
      <w:r>
        <w:t xml:space="preserve">(7) The director-general of a bureau of economy, trade and industry who has conducted an on-site inspection under the provisions of Article 240-22, paragraph (1) of the Act (referred to below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derivatives </w:t>
      </w:r>
      <w:r>
        <w:t>intermediary service provider, if the director-general finds this necessary.</w:t>
      </w:r>
    </w:p>
    <w:p w:rsidR="00E600EE" w:rsidRDefault="00B368A0">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brokers prescribed in paragraph (1), item (vi), the director-general of a regional agricultural administration office who has jurisdiction over the locality of the branch offices, etc. may also exercise the authority, in additio</w:t>
      </w:r>
      <w:r>
        <w:t>n to the director-general of a regional agricultural administration office prescribed in that item.</w:t>
      </w:r>
    </w:p>
    <w:p w:rsidR="00E600EE" w:rsidRDefault="00B368A0">
      <w:pPr>
        <w:pStyle w:val="enf4"/>
      </w:pPr>
      <w:r>
        <w:t>(9) The director-general of a regional agricultural administration office who has issued an order to branch offices, etc. of a specified over-the-counter commodity derivatives broker prescribed in paragraph (1), item (vi) pursuant to the provisions of the preceding paragraph may issue an order to branch offices, etc. other than the head office, etc. or branch offices, etc., if the director-general finds this necessary.</w:t>
      </w:r>
    </w:p>
    <w:p w:rsidR="00E600EE" w:rsidRDefault="00B368A0">
      <w:pPr>
        <w:pStyle w:val="enf4"/>
      </w:pPr>
      <w:r>
        <w:t>(10) With regard to the authority under the provisions of Article 349, paragraph (5) of the Act over branch offices, etc. of a specified over-the-counter commodity derivatives broker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E600EE" w:rsidRDefault="00B368A0">
      <w:pPr>
        <w:pStyle w:val="enf4"/>
      </w:pPr>
      <w:r>
        <w:t xml:space="preserve">(11) The director-general of a bureau of economy, trade and industry who has issued an order to submit a report or materials or has conducted an on-site inspection under the provisions of Article 349, paragraph (5) of the Act (referred to as an "inspection, etc." in this paragraph below) for branch offices, etc. of a specified over-the-counter commodity derivatives broker prescribed in paragraph (1), item (vii) pursuant to the provisions of the preceding paragraph may conduct an inspection, etc. for branch </w:t>
      </w:r>
      <w:r>
        <w:t>offices, etc., other than the head office, etc., or branch offices, etc. of the specified over-the-counter commodity derivatives broker, if the director-general find this necessary.</w:t>
      </w:r>
    </w:p>
    <w:p w:rsidR="00E600EE" w:rsidRDefault="00B368A0">
      <w:pPr>
        <w:pStyle w:val="enf4"/>
      </w:pPr>
      <w:r>
        <w:t xml:space="preserve">(12)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brokers prescribed in paragraph (1), item (viii), the director-general of a regional agricultural administration office or the director-general of a bureau of economy, trade and industry </w:t>
      </w:r>
      <w:r>
        <w:t>that has jurisdiction over the locality of the branches, etc. may exercise that authority, in addition to the director-general of a regional agricultural administration office or the director-general of a bureau of economy, trade and industry prescribed in that item.</w:t>
      </w:r>
    </w:p>
    <w:p w:rsidR="00E600EE" w:rsidRDefault="00B368A0">
      <w:pPr>
        <w:pStyle w:val="enf4"/>
      </w:pPr>
      <w:r>
        <w:t>(13) The director-general of a regional agricultural administration office or the director-general of a bureau of economy, trade and industry who has issued an order to submit a report or materials under the provisions of Article 349, paragraph (5) of the Act (referred to below as an "order" in this paragraph) to branch offices, etc. of a specified over-the-counter commodity derivatives broker prescribed in paragraph (1), item (viii) pursuant to the provisions of the preceding paragraph may issue an order t</w:t>
      </w:r>
      <w:r>
        <w:t>o branch offices, etc. other than the head office, etc. or branch offices, etc., if the director-general finds this necessary.</w:t>
      </w:r>
    </w:p>
    <w:p w:rsidR="00E600EE" w:rsidRDefault="00B368A0">
      <w:pPr>
        <w:pStyle w:val="enf4"/>
      </w:pPr>
      <w:r>
        <w:t>(14) The director-general of a bureau of economy, trade and industry who has conducted an on-site inspection under the provisions of Article 349, paragraph (5) of the Act (referred below to as an "on-site inspection" in this paragraph) for branch offices, etc. of a specified over-the-counter commodity derivatives broker prescribed in paragraph (1), item (viii) pursuant to the provisions of paragraph (12) may conduct an on-site inspection for branch offices, etc. other than the head office, etc. or branch of</w:t>
      </w:r>
      <w:r>
        <w:t>fices, etc., if the director-general finds this necessary.</w:t>
      </w:r>
    </w:p>
    <w:p w:rsidR="00E600EE" w:rsidRDefault="00E600EE"/>
    <w:p w:rsidR="00E600EE" w:rsidRDefault="00B368A0">
      <w:pPr>
        <w:pStyle w:val="en2"/>
      </w:pPr>
      <w:r>
        <w:t>Supplementary Provisions</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299 of September 30, 1950]</w:t>
      </w:r>
    </w:p>
    <w:p w:rsidR="00E600EE" w:rsidRDefault="00E600EE"/>
    <w:p w:rsidR="00E600EE" w:rsidRDefault="00B368A0">
      <w:pPr>
        <w:pStyle w:val="enf4"/>
      </w:pPr>
      <w:r>
        <w:t xml:space="preserve">(1) This Cabinet Order comes into effect on the day of </w:t>
      </w:r>
      <w:r>
        <w:t>promulgation.</w:t>
      </w:r>
    </w:p>
    <w:p w:rsidR="00E600EE" w:rsidRDefault="00B368A0">
      <w:pPr>
        <w:pStyle w:val="enf4"/>
      </w:pPr>
      <w:r>
        <w:t>(2) The Exchange Act (Imperial Order No. 353 of 1922) is repealed.</w:t>
      </w:r>
    </w:p>
    <w:p w:rsidR="00E600EE" w:rsidRDefault="00E600EE"/>
    <w:p w:rsidR="00E600EE" w:rsidRDefault="00B368A0">
      <w:pPr>
        <w:pStyle w:val="en2"/>
      </w:pPr>
      <w:r>
        <w:t>Supplementary Provisions  [Cabinet Order No. 37 of March 3, 1951]</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132 of May 4, 1951]</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304 of September 21, 1951]</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201 of June 23, 1952]</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293 of September 21, 1953]</w:t>
      </w:r>
    </w:p>
    <w:p w:rsidR="00E600EE" w:rsidRDefault="00E600EE"/>
    <w:p w:rsidR="00E600EE" w:rsidRDefault="00B368A0">
      <w:pPr>
        <w:pStyle w:val="enf5"/>
      </w:pPr>
      <w:r>
        <w:t xml:space="preserve">This Cabinet Order comes into effect on the day of </w:t>
      </w:r>
      <w:r>
        <w:t>promulgation.</w:t>
      </w:r>
    </w:p>
    <w:p w:rsidR="00E600EE" w:rsidRDefault="00E600EE"/>
    <w:p w:rsidR="00E600EE" w:rsidRDefault="00B368A0">
      <w:pPr>
        <w:pStyle w:val="en2"/>
      </w:pPr>
      <w:r>
        <w:t>Supplementary Provisions  [Cabinet Order No. 117 of May 31, 1954]</w:t>
      </w:r>
    </w:p>
    <w:p w:rsidR="00E600EE" w:rsidRDefault="00E600EE"/>
    <w:p w:rsidR="00E600EE" w:rsidRDefault="00B368A0">
      <w:pPr>
        <w:pStyle w:val="enf4"/>
      </w:pPr>
      <w:r>
        <w:t>(1) This Cabinet Order comes into effect on June 1, 1954.</w:t>
      </w:r>
    </w:p>
    <w:p w:rsidR="00E600EE" w:rsidRDefault="00B368A0">
      <w:pPr>
        <w:pStyle w:val="enf4"/>
      </w:pPr>
      <w:r>
        <w:t xml:space="preserve">(2) The securities that have already been designated by an exchange at the time of the enforcement of the Act for </w:t>
      </w:r>
      <w:r>
        <w:t>Partial Amendment of the Commodity Exchange Act (Act No. 92 of 1954) pursuant to the provisions of Article 38, paragraph (3) of the Act before the amendment is deemed to have been designated pursuant to the provisions of the proviso to Article 3-2 of the Order for Enforcement of the Commodity Exchange Act after the amendment.</w:t>
      </w:r>
    </w:p>
    <w:p w:rsidR="00E600EE" w:rsidRDefault="00E600EE"/>
    <w:p w:rsidR="00E600EE" w:rsidRDefault="00B368A0">
      <w:pPr>
        <w:pStyle w:val="en2"/>
      </w:pPr>
      <w:r>
        <w:t>Supplementary Provisions  [Cabinet Order No. 399 of October 1, 1962]</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356 of October 25, 1963]</w:t>
      </w:r>
    </w:p>
    <w:p w:rsidR="00E600EE" w:rsidRDefault="00E600EE"/>
    <w:p w:rsidR="00E600EE" w:rsidRDefault="00B368A0">
      <w:pPr>
        <w:pStyle w:val="enf5"/>
      </w:pPr>
      <w:r>
        <w:t>This Cabinet Order comes into effect on January 1, 1964.</w:t>
      </w:r>
    </w:p>
    <w:p w:rsidR="00E600EE" w:rsidRDefault="00E600EE"/>
    <w:p w:rsidR="00E600EE" w:rsidRDefault="00B368A0">
      <w:pPr>
        <w:pStyle w:val="en2"/>
      </w:pPr>
      <w:r>
        <w:t>Supplementary Provisions  [Cabinet Order No. 4 of January 22, 1968]  [Extract]</w:t>
      </w:r>
    </w:p>
    <w:p w:rsidR="00E600EE" w:rsidRDefault="00E600EE"/>
    <w:p w:rsidR="00E600EE" w:rsidRDefault="00B368A0">
      <w:pPr>
        <w:pStyle w:val="enf4"/>
      </w:pPr>
      <w:r>
        <w:t>(1) This Cabinet Order comes into effect on the day on which the Act for Partial Amendment of the Commodity Exchange Act (referred to below as the "Amendment Act") comes into effect (January 27, 1968; referred to below as the "date of enforcement").</w:t>
      </w:r>
    </w:p>
    <w:p w:rsidR="00E600EE" w:rsidRDefault="00E600EE"/>
    <w:p w:rsidR="00E600EE" w:rsidRDefault="00B368A0">
      <w:pPr>
        <w:pStyle w:val="en2"/>
      </w:pPr>
      <w:r>
        <w:t>Supplementary Provisions  [Cabinet Order No. 112 of April 1, 1971]</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302 of August 1, 1972]</w:t>
      </w:r>
    </w:p>
    <w:p w:rsidR="00E600EE" w:rsidRDefault="00E600EE"/>
    <w:p w:rsidR="00E600EE" w:rsidRDefault="00B368A0">
      <w:pPr>
        <w:pStyle w:val="enf5"/>
      </w:pPr>
      <w:r>
        <w:t>This Cabinet Order comes into effect on October 1, 1972.</w:t>
      </w:r>
    </w:p>
    <w:p w:rsidR="00E600EE" w:rsidRDefault="00E600EE"/>
    <w:p w:rsidR="00E600EE" w:rsidRDefault="00B368A0">
      <w:pPr>
        <w:pStyle w:val="en2"/>
      </w:pPr>
      <w:r>
        <w:t>Supplementary Provisions  [Cabinet Order No. 363 of December 23, 1975]</w:t>
      </w:r>
    </w:p>
    <w:p w:rsidR="00E600EE" w:rsidRDefault="00E600EE"/>
    <w:p w:rsidR="00E600EE" w:rsidRDefault="00B368A0">
      <w:pPr>
        <w:pStyle w:val="ena"/>
      </w:pPr>
      <w:r>
        <w:t>(Effective Date)</w:t>
      </w:r>
    </w:p>
    <w:p w:rsidR="00E600EE" w:rsidRDefault="00B368A0">
      <w:pPr>
        <w:pStyle w:val="enf4"/>
      </w:pPr>
      <w:r>
        <w:t>(1) This Cabinet Order comes into effect on the day on which the Act for Partial Amendment of the Commodity Exchange Act comes into effect (January 14, 1976).</w:t>
      </w:r>
    </w:p>
    <w:p w:rsidR="00E600EE" w:rsidRDefault="00E600EE"/>
    <w:p w:rsidR="00E600EE" w:rsidRDefault="00B368A0">
      <w:pPr>
        <w:pStyle w:val="en2"/>
      </w:pPr>
      <w:r>
        <w:t>Supplementary Provisions  [Cabinet Order No. 282 of July 5, 1978]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of promulgation.</w:t>
      </w:r>
    </w:p>
    <w:p w:rsidR="00E600EE" w:rsidRDefault="00E600EE"/>
    <w:p w:rsidR="00E600EE" w:rsidRDefault="00B368A0">
      <w:pPr>
        <w:pStyle w:val="en2"/>
      </w:pPr>
      <w:r>
        <w:t>Supplementary Provisions  [Cabinet Order No. 282 of September 16, 1981]</w:t>
      </w:r>
    </w:p>
    <w:p w:rsidR="00E600EE" w:rsidRDefault="00E600EE"/>
    <w:p w:rsidR="00E600EE" w:rsidRDefault="00B368A0">
      <w:pPr>
        <w:pStyle w:val="ena"/>
      </w:pPr>
      <w:r>
        <w:t>(Effective Date)</w:t>
      </w:r>
    </w:p>
    <w:p w:rsidR="00E600EE" w:rsidRDefault="00B368A0">
      <w:pPr>
        <w:pStyle w:val="enf4"/>
      </w:pPr>
      <w:r>
        <w:t>(1) This Cabinet Order comes into effect on September 24, 1981.</w:t>
      </w:r>
    </w:p>
    <w:p w:rsidR="00E600EE" w:rsidRDefault="00E600EE"/>
    <w:p w:rsidR="00E600EE" w:rsidRDefault="00B368A0">
      <w:pPr>
        <w:pStyle w:val="ena"/>
      </w:pPr>
      <w:r>
        <w:t>(Transitional Measures)</w:t>
      </w:r>
    </w:p>
    <w:p w:rsidR="00E600EE" w:rsidRDefault="00B368A0">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before the enforcement of this Cabinet Order (referred to below as a "transaction prior to enforcement" in this paragraph), and the transfer between the gold subject to the transaction prior to enforcement and it</w:t>
      </w:r>
      <w:r>
        <w:t>s consideration or the transfer between the resale or repurchase of the gold and the difference arising from the resale or repurchase at the same facility as the facility in which the transaction before enforcement was conducted (referred to below as "completion of transaction" ) is to be conducted after the enforcement of this Cabinet Order between the persons who are required to conduct the completion of transaction, the provisions of Article 8 of the Commodity Exchange Act neither apply to the completion</w:t>
      </w:r>
      <w:r>
        <w:t xml:space="preserve"> of transaction nor the establishment of the facility in which the completion of transaction is to be conducted.</w:t>
      </w:r>
    </w:p>
    <w:p w:rsidR="00E600EE" w:rsidRDefault="00E600EE"/>
    <w:p w:rsidR="00E600EE" w:rsidRDefault="00B368A0">
      <w:pPr>
        <w:pStyle w:val="en2"/>
      </w:pPr>
      <w:r>
        <w:t>Supplementary Provisions  [Cabinet Order No. 23 of February 23, 1982]</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214 of October 7, 1983]</w:t>
      </w:r>
    </w:p>
    <w:p w:rsidR="00E600EE" w:rsidRDefault="00E600EE"/>
    <w:p w:rsidR="00E600EE" w:rsidRDefault="00B368A0">
      <w:pPr>
        <w:pStyle w:val="ena"/>
      </w:pPr>
      <w:r>
        <w:t>(Effective Date)</w:t>
      </w:r>
    </w:p>
    <w:p w:rsidR="00E600EE" w:rsidRDefault="00B368A0">
      <w:pPr>
        <w:pStyle w:val="enf4"/>
      </w:pPr>
      <w:r>
        <w:t>(1) This Cabinet Order comes into effect on October 17, 1983.</w:t>
      </w:r>
    </w:p>
    <w:p w:rsidR="00E600EE" w:rsidRDefault="00E600EE"/>
    <w:p w:rsidR="00E600EE" w:rsidRDefault="00B368A0">
      <w:pPr>
        <w:pStyle w:val="ena"/>
      </w:pPr>
      <w:r>
        <w:t>(Transitional Measures)</w:t>
      </w:r>
    </w:p>
    <w:p w:rsidR="00E600EE" w:rsidRDefault="00B368A0">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before the enforcement of this Cabinet Order (referred to below as a "transaction prior to enforcement" in this paragraph), and the transfer between the silver or platinum subject to t</w:t>
      </w:r>
      <w:r>
        <w:t>he transaction prior to enforcement and its consideration or the transfer between the resale or repurchase of the silver or platinum and the difference arising from the resale or repurchase at the same facility as the facility in which the transaction before enforcement was conducted (referred to below as the "completion of transaction") is to be conducted after the enforcement of this Cabinet Order between the persons who are required to conduct the completion of transaction, the provisions of Article 8 of</w:t>
      </w:r>
      <w:r>
        <w:t xml:space="preserve"> the Commodity Exchange Act (referred to below as the "Act") apply to neither the completion of transaction nor the establishment of the facility in which the completion of transaction is to be conducted.</w:t>
      </w:r>
    </w:p>
    <w:p w:rsidR="00E600EE" w:rsidRDefault="00B368A0">
      <w:pPr>
        <w:pStyle w:val="enf4"/>
      </w:pPr>
      <w:r>
        <w:t>(3) A futures commission merchant who has already obtained a license under Article 41, paragraph (1) of the Act for the gold to be listed on a commodity market established by the Tokyo Gold Exchange (referred to below a "license for gold" ) at the time of the enforcement of this Cabinet Order is deemed to have obtained a license under Article 41, paragraph (1) of the Act for precious metals (limited to gold) to be listed on a commodity market established by the Tokyo Gold Exchange, during the period from th</w:t>
      </w:r>
      <w:r>
        <w:t xml:space="preserve">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(referred to below as the "commencement date of purchase and sale transactions") (if the merchant has received a license under Article 41, </w:t>
      </w:r>
      <w:r>
        <w:t>paragraph (1) of the Act for precious metals to be listed on a commodity market established by the Tokyo Gold Exchange before that day, the day preceding the day on which they received the license).</w:t>
      </w:r>
    </w:p>
    <w:p w:rsidR="00E600EE" w:rsidRDefault="00B368A0">
      <w:pPr>
        <w:pStyle w:val="enf4"/>
      </w:pPr>
      <w:r>
        <w:t>(4) The base amount under Article 49, paragraph (1) of the Act related to a futures commission merchant who has already received a "license for gold" at the time of the enforcement of this Cabinet Order is the amount stated in the row for the Tokyo Gold Exchange in the Appended Table 2 of the Order for Enforcement of the Commodity Exchange Act prior to the amendment (referred to below as the "former Order") until the day preceding the commencement date of purchase and sale transactions (if this date is prio</w:t>
      </w:r>
      <w:r>
        <w:t>r to the date on which three months have elapsed from the day of the enforcement of this Cabinet Order (referred to below as the "elapsed date"), the elapsed date), notwithstanding the provisions of Article 5 of the Order for Enforcement of the Commodity Exchange Act after the amendment (referred to below as the "new Order").</w:t>
      </w:r>
    </w:p>
    <w:p w:rsidR="00E600EE" w:rsidRDefault="00B368A0">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stated in the row for gold in the Appended Table 3 of the former Order, until the day preceding the day on which each futures commission merchant starts accepting entrusted operations for silver or platinum (if that date is after the commencement</w:t>
      </w:r>
      <w:r>
        <w:t xml:space="preserve"> date of purchase and sale transactions, the commencement date of purchase and sale transactions), notwithstanding the provisions of Article 7 of the new Order.</w:t>
      </w:r>
    </w:p>
    <w:p w:rsidR="00E600EE" w:rsidRDefault="00E600EE"/>
    <w:p w:rsidR="00E600EE" w:rsidRDefault="00B368A0">
      <w:pPr>
        <w:pStyle w:val="en2"/>
      </w:pPr>
      <w:r>
        <w:t>Supplementary Provisions  [Cabinet Order No. 110 of April 20, 1984]</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282 of September 21, 1984]</w:t>
      </w:r>
    </w:p>
    <w:p w:rsidR="00E600EE" w:rsidRDefault="00E600EE"/>
    <w:p w:rsidR="00E600EE" w:rsidRDefault="00B368A0">
      <w:pPr>
        <w:pStyle w:val="enf5"/>
      </w:pPr>
      <w:r>
        <w:t xml:space="preserve">This </w:t>
      </w:r>
      <w:r>
        <w:t>Cabinet Order comes into effect on October 1, 1984.</w:t>
      </w:r>
    </w:p>
    <w:p w:rsidR="00E600EE" w:rsidRDefault="00E600EE"/>
    <w:p w:rsidR="00E600EE" w:rsidRDefault="00B368A0">
      <w:pPr>
        <w:pStyle w:val="en2"/>
      </w:pPr>
      <w:r>
        <w:t>Supplementary Provisions  [Cabinet Order No. 311 of October 26, 1984]</w:t>
      </w:r>
    </w:p>
    <w:p w:rsidR="00E600EE" w:rsidRDefault="00E600EE"/>
    <w:p w:rsidR="00E600EE" w:rsidRDefault="00B368A0">
      <w:pPr>
        <w:pStyle w:val="enf5"/>
      </w:pPr>
      <w:r>
        <w:t>This Cabinet Order comes into effect on November 1, 1984.</w:t>
      </w:r>
    </w:p>
    <w:p w:rsidR="00E600EE" w:rsidRDefault="00E600EE"/>
    <w:p w:rsidR="00E600EE" w:rsidRDefault="00B368A0">
      <w:pPr>
        <w:pStyle w:val="en2"/>
      </w:pPr>
      <w:r>
        <w:t>Supplementary Provisions  [Cabinet Order No. 315 of December 17, 1985]</w:t>
      </w:r>
    </w:p>
    <w:p w:rsidR="00E600EE" w:rsidRDefault="00E600EE"/>
    <w:p w:rsidR="00E600EE" w:rsidRDefault="00B368A0">
      <w:pPr>
        <w:pStyle w:val="ena"/>
      </w:pPr>
      <w:r>
        <w:t>(Effective Date)</w:t>
      </w:r>
    </w:p>
    <w:p w:rsidR="00E600EE" w:rsidRDefault="00B368A0">
      <w:pPr>
        <w:pStyle w:val="enf4"/>
      </w:pPr>
      <w:r>
        <w:t>(1) This Cabinet Order comes into effect on January 1, 1986.</w:t>
      </w:r>
    </w:p>
    <w:p w:rsidR="00E600EE" w:rsidRDefault="00E600EE"/>
    <w:p w:rsidR="00E600EE" w:rsidRDefault="00B368A0">
      <w:pPr>
        <w:pStyle w:val="ena"/>
      </w:pPr>
      <w:r>
        <w:t>(Transitional Measures)</w:t>
      </w:r>
    </w:p>
    <w:p w:rsidR="00E600EE" w:rsidRDefault="00B368A0">
      <w:pPr>
        <w:pStyle w:val="enf4"/>
      </w:pPr>
      <w:r>
        <w:t xml:space="preserve">(2) With regard to a futures commission merchant who has already received a 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w:t>
      </w:r>
      <w:r>
        <w:t>on the commodity markets) exceeds the amount prescribed in Article 5 of the Order for Enforcement of the Commodity Exchange Act before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 5</w:t>
      </w:r>
      <w:r>
        <w:t xml:space="preserve"> of the Order for Enforcement of the Commodity Exchange Act before the amendment, for one year from the date of the enforcement of this Cabinet Order, notwithstanding the provisions of Article 5 of the Order for Enforcement of the Commodity Exchange Act after the amendment.</w:t>
      </w:r>
    </w:p>
    <w:p w:rsidR="00E600EE" w:rsidRDefault="00E600EE"/>
    <w:p w:rsidR="00E600EE" w:rsidRDefault="00B368A0">
      <w:pPr>
        <w:pStyle w:val="en2"/>
      </w:pPr>
      <w:r>
        <w:t>Supplementary Provisions  [Cabinet Order No. 354 of December 14, 1990]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for Partial Amendment of the Commodity Exchange Act (Act No. 52 of 1990; referred to below as the "Amendment Act") comes into effect (December 29, 1990).</w:t>
      </w:r>
    </w:p>
    <w:p w:rsidR="00E600EE" w:rsidRDefault="00E600EE"/>
    <w:p w:rsidR="00E600EE" w:rsidRDefault="00B368A0">
      <w:pPr>
        <w:pStyle w:val="ena"/>
      </w:pPr>
      <w:r>
        <w:t>(Transitional Measures for the Amount of Minimum Capital of Licenses for the First Class Business of Accepting Requests of Commodity Transactions)</w:t>
      </w:r>
    </w:p>
    <w:p w:rsidR="00E600EE" w:rsidRDefault="00B368A0">
      <w:pPr>
        <w:pStyle w:val="enf3"/>
      </w:pPr>
      <w:r>
        <w:t xml:space="preserve">Article 2  If a person who is deemed to have received a license under Article 41, paragraph (1) of the Commodity Exchange Act after the amendment (referred to </w:t>
      </w:r>
      <w:r>
        <w:t>below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stated in Article 41, paragraph (2), item (i) of the new Act, the amount specified by Cabinet Order as referred to in Article 44, paragraph (1), item (i)-2 of the new Act (in</w:t>
      </w:r>
      <w:r>
        <w:t>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after the amendment.</w:t>
      </w:r>
    </w:p>
    <w:p w:rsidR="00E600EE" w:rsidRDefault="00E600EE"/>
    <w:p w:rsidR="00E600EE" w:rsidRDefault="00B368A0">
      <w:pPr>
        <w:pStyle w:val="en2"/>
      </w:pPr>
      <w:r>
        <w:t>Supplementary Provisions  [Cabinet Order No. 303 of September 19, 1994]  [Extract]</w:t>
      </w:r>
    </w:p>
    <w:p w:rsidR="00E600EE" w:rsidRDefault="00E600EE"/>
    <w:p w:rsidR="00E600EE" w:rsidRDefault="00B368A0">
      <w:pPr>
        <w:pStyle w:val="ena"/>
      </w:pPr>
      <w:r>
        <w:t>(Effective Date)</w:t>
      </w:r>
    </w:p>
    <w:p w:rsidR="00E600EE" w:rsidRDefault="00B368A0">
      <w:pPr>
        <w:pStyle w:val="enf3"/>
      </w:pPr>
      <w:r>
        <w:t xml:space="preserve">Article 1  This Cabinet Order comes into </w:t>
      </w:r>
      <w:r>
        <w:t>effect on the date on which the Administrative Procedures Act comes into effect (October 1, 1994).</w:t>
      </w:r>
    </w:p>
    <w:p w:rsidR="00E600EE" w:rsidRDefault="00E600EE"/>
    <w:p w:rsidR="00E600EE" w:rsidRDefault="00B368A0">
      <w:pPr>
        <w:pStyle w:val="en2"/>
      </w:pPr>
      <w:r>
        <w:t>Supplementary Provisions  [Cabinet Order No. 78 of March 23, 1995]</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294 of September 26, 1996]</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305 of September 29, 1997]</w:t>
      </w:r>
    </w:p>
    <w:p w:rsidR="00E600EE" w:rsidRDefault="00E600EE"/>
    <w:p w:rsidR="00E600EE" w:rsidRDefault="00B368A0">
      <w:pPr>
        <w:pStyle w:val="ena"/>
      </w:pPr>
      <w:r>
        <w:t>(Effective Date)</w:t>
      </w:r>
    </w:p>
    <w:p w:rsidR="00E600EE" w:rsidRDefault="00B368A0">
      <w:pPr>
        <w:pStyle w:val="enf4"/>
      </w:pPr>
      <w:r>
        <w:t>(1) This Cabinet Order comes into effect on the day of promulgation.</w:t>
      </w:r>
    </w:p>
    <w:p w:rsidR="00E600EE" w:rsidRDefault="00E600EE"/>
    <w:p w:rsidR="00E600EE" w:rsidRDefault="00B368A0">
      <w:pPr>
        <w:pStyle w:val="ena"/>
      </w:pPr>
      <w:r>
        <w:t>(Transitional Measures for Penal Provisions)</w:t>
      </w:r>
    </w:p>
    <w:p w:rsidR="00E600EE" w:rsidRDefault="00B368A0">
      <w:pPr>
        <w:pStyle w:val="enf4"/>
      </w:pPr>
      <w:r>
        <w:t>(2) Penal provisions in force before the enforcement of this Cabinet Order continue to apply to acts committed before the enforcement of this Cabinet Order.</w:t>
      </w:r>
    </w:p>
    <w:p w:rsidR="00E600EE" w:rsidRDefault="00E600EE"/>
    <w:p w:rsidR="00E600EE" w:rsidRDefault="00B368A0">
      <w:pPr>
        <w:pStyle w:val="en2"/>
      </w:pPr>
      <w:r>
        <w:t>Supplementary Provisions  [Cabinet Order No. 369 of November 20, 1998]  [Extract]</w:t>
      </w:r>
    </w:p>
    <w:p w:rsidR="00E600EE" w:rsidRDefault="00E600EE"/>
    <w:p w:rsidR="00E600EE" w:rsidRDefault="00B368A0">
      <w:pPr>
        <w:pStyle w:val="ena"/>
      </w:pPr>
      <w:r>
        <w:t>(Effective Date)</w:t>
      </w:r>
    </w:p>
    <w:p w:rsidR="00E600EE" w:rsidRDefault="00B368A0">
      <w:pPr>
        <w:pStyle w:val="enf3"/>
      </w:pPr>
      <w:r>
        <w:t>Article 1  This Cabinet Order comes into effect on December 1, 1998.</w:t>
      </w:r>
    </w:p>
    <w:p w:rsidR="00E600EE" w:rsidRDefault="00E600EE"/>
    <w:p w:rsidR="00E600EE" w:rsidRDefault="00B368A0">
      <w:pPr>
        <w:pStyle w:val="en2"/>
      </w:pPr>
      <w:r>
        <w:t>Supplementary Provisions  [Cabinet Order No. 80 of March 26, 1999]  [Extract]</w:t>
      </w:r>
    </w:p>
    <w:p w:rsidR="00E600EE" w:rsidRDefault="00E600EE"/>
    <w:p w:rsidR="00E600EE" w:rsidRDefault="00B368A0">
      <w:pPr>
        <w:pStyle w:val="ena"/>
      </w:pPr>
      <w:r>
        <w:t>(Effective Date)</w:t>
      </w:r>
    </w:p>
    <w:p w:rsidR="00E600EE" w:rsidRDefault="00B368A0">
      <w:pPr>
        <w:pStyle w:val="enf3"/>
      </w:pPr>
      <w:r>
        <w:t xml:space="preserve">Article 1  This </w:t>
      </w:r>
      <w:r>
        <w:t>Cabinet Order comes into effect on the day on which the Act for Partial Amendment of the Commodity Exchange Act (referred below to as the "Amendment Act") comes into effect (April 1, 1999).</w:t>
      </w:r>
    </w:p>
    <w:p w:rsidR="00E600EE" w:rsidRDefault="00E600EE"/>
    <w:p w:rsidR="00E600EE" w:rsidRDefault="00B368A0">
      <w:pPr>
        <w:pStyle w:val="ena"/>
      </w:pPr>
      <w:r>
        <w:t>(Transitional Measures for Registration of Futures Commission Merchant Associations)</w:t>
      </w:r>
    </w:p>
    <w:p w:rsidR="00E600EE" w:rsidRDefault="00B368A0">
      <w:pPr>
        <w:pStyle w:val="enf3"/>
      </w:pPr>
      <w:r>
        <w:t>Article 2  (1) If a futures commission merchant association prescribed in Article 54-3, paragraph (1) of the Commodity Exchange Act before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the p</w:t>
      </w:r>
      <w:r>
        <w:t>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Provision</w:t>
      </w:r>
      <w:r>
        <w:t>s of the Amendment Act becomes effective at the locality of its principal office and within three weeks from that day at the locality of its secondary offices.</w:t>
      </w:r>
    </w:p>
    <w:p w:rsidR="00E600EE" w:rsidRDefault="00B368A0">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stated in the column of the registered matters in the row for commodity futures associations of the Appended Table 1 of the Association Registration Order after the amendment by the provisions of th</w:t>
      </w:r>
      <w:r>
        <w:t>e following Article.</w:t>
      </w:r>
    </w:p>
    <w:p w:rsidR="00E600EE" w:rsidRDefault="00B368A0">
      <w:pPr>
        <w:pStyle w:val="enf4"/>
      </w:pPr>
      <w:r>
        <w:t>(3) The registrar must make the register page inactive when dissolution has been registered pursuant to the provisions of paragraph (1).</w:t>
      </w:r>
    </w:p>
    <w:p w:rsidR="00E600EE" w:rsidRDefault="00B368A0">
      <w:pPr>
        <w:pStyle w:val="enf4"/>
      </w:pPr>
      <w:r>
        <w:t>(4) The provisions of Article 19, Article 55, paragraph (1), Article 71, and Article 73 of the Commercial Registration Act (Act No. 125 of 1963) apply mutatis mutandis to the registration under paragraph (1). In this case, the phrase "to the effect that the organization has been changed" in Article 71 of that Act is deemed to be replaced with "to the effect that it has become a commodity futures association under the Commodity Exchange Act (Act No. 239 of 1950) amended by the Act for Partial Amendment of th</w:t>
      </w:r>
      <w:r>
        <w:t>e Commodity Exchange Act (Act No. 42 of 1998) pursuant to the provisions of Article 8, paragraphs (1) and (4) of the Supplementary Provisions of that Act."</w:t>
      </w:r>
    </w:p>
    <w:p w:rsidR="00E600EE" w:rsidRDefault="00E600EE"/>
    <w:p w:rsidR="00E600EE" w:rsidRDefault="00B368A0">
      <w:pPr>
        <w:pStyle w:val="en2"/>
      </w:pPr>
      <w:r>
        <w:t>Supplementary Provisions  [Cabinet Order No. 311 of June 7, 2000]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for Partial Amendment of the Cabinet Act (Act No. 88 of 1999) comes into effect (January 6, 2001).</w:t>
      </w:r>
    </w:p>
    <w:p w:rsidR="00E600EE" w:rsidRDefault="00E600EE"/>
    <w:p w:rsidR="00E600EE" w:rsidRDefault="00B368A0">
      <w:pPr>
        <w:pStyle w:val="en2"/>
      </w:pPr>
      <w:r>
        <w:t>Supplementary Provisions  [Cabinet Order No. 482 of November 17, 2000]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for Partial Amendment of the Act on Securitization of Specified Assets by Special Purpose Companies (referred to below as the "Amendment Act" ) comes into effect (November 30, 2000; referred to below as the "date of enforcement").</w:t>
      </w:r>
    </w:p>
    <w:p w:rsidR="00E600EE" w:rsidRDefault="00E600EE"/>
    <w:p w:rsidR="00E600EE" w:rsidRDefault="00B368A0">
      <w:pPr>
        <w:pStyle w:val="en2"/>
      </w:pPr>
      <w:r>
        <w:t>Supplementary Provisions  [Cabinet Order No. 57 of March 24, 2004]  [Extract]</w:t>
      </w:r>
    </w:p>
    <w:p w:rsidR="00E600EE" w:rsidRDefault="00E600EE"/>
    <w:p w:rsidR="00E600EE" w:rsidRDefault="00B368A0">
      <w:pPr>
        <w:pStyle w:val="enf5"/>
      </w:pPr>
      <w:r>
        <w:t>This Cabinet Order comes into effect on March 31, 2004.</w:t>
      </w:r>
    </w:p>
    <w:p w:rsidR="00E600EE" w:rsidRDefault="00E600EE"/>
    <w:p w:rsidR="00E600EE" w:rsidRDefault="00B368A0">
      <w:pPr>
        <w:pStyle w:val="en2"/>
      </w:pPr>
      <w:r>
        <w:t>Supplementary Provisions  [Cabinet Order No. 259 of August 27, 2004]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for Partial Amendment of the Commodity Exchange Act (referred below to as the "Amendment Act") comes into effect (May 1, 2005; referred to below as the "date of enforcement"); provided, however, that the provisions stated in the following Article through Article 4 of the Supplementary Provisions come into effect on the day of promulgation.</w:t>
      </w:r>
    </w:p>
    <w:p w:rsidR="00E600EE" w:rsidRDefault="00E600EE"/>
    <w:p w:rsidR="00E600EE" w:rsidRDefault="00B368A0">
      <w:pPr>
        <w:pStyle w:val="ena"/>
      </w:pPr>
      <w:r>
        <w:t>(Transitional Measures for License for the Business of Assuming Commodity Transaction Debts)</w:t>
      </w:r>
    </w:p>
    <w:p w:rsidR="00E600EE" w:rsidRDefault="00B368A0">
      <w:pPr>
        <w:pStyle w:val="enf3"/>
      </w:pPr>
      <w:r>
        <w:t xml:space="preserve">Article 2  (1) A stock company that seeks to obtain a license under Article 167 of the Commodity Exchange Act amended by the </w:t>
      </w:r>
      <w:r>
        <w:t>Amendment Act (referred to below as the "new Act") may file an application for the license even before the effective date pursuant to the provisions of Article 168 of the new Act.</w:t>
      </w:r>
    </w:p>
    <w:p w:rsidR="00E600EE" w:rsidRDefault="00B368A0">
      <w:pPr>
        <w:pStyle w:val="enf4"/>
      </w:pPr>
      <w:r>
        <w:t>(2) If an application for a license under the provisions of the preceding paragraph has been filed, the competent minister may grant the license pursuant to the provisions of Articles 167 through 169 of the new Act even before the effective date. In this case, the stock company which has obtained the license is deemed to have obtained the license under Article 167 of the new Act on the effective date.</w:t>
      </w:r>
    </w:p>
    <w:p w:rsidR="00E600EE" w:rsidRDefault="00E600EE"/>
    <w:p w:rsidR="00E600EE" w:rsidRDefault="00B368A0">
      <w:pPr>
        <w:pStyle w:val="ena"/>
      </w:pPr>
      <w:r>
        <w:t>(Transitional Measures for Registration of Requesting Party Protection Membership Corporations)</w:t>
      </w:r>
    </w:p>
    <w:p w:rsidR="00E600EE" w:rsidRDefault="00B368A0">
      <w:pPr>
        <w:pStyle w:val="enf3"/>
      </w:pPr>
      <w:r>
        <w:t>Article 3  (1) If a requesting party protection membership corporation (meaning a requesting party protection membership corporation prescribed in Article 269, paragraph (4) of the new Act; the same applies below) is sought to be established before the effective date pursuant to the provisions of Article 18, paragraph (1) of the Supplementary Provisions of the Amendment Act, the registration of establishment is to be made by a person who is to be the president of the corporation pursuant to the provisions o</w:t>
      </w:r>
      <w:r>
        <w:t>f the Association Registration Order (Cabinet Order No. 29 of 1964) after the amendment by the provisions of Article 7 of the Supplementary Provisions.</w:t>
      </w:r>
    </w:p>
    <w:p w:rsidR="00E600EE" w:rsidRDefault="00B368A0">
      <w:pPr>
        <w:pStyle w:val="enf4"/>
      </w:pPr>
      <w:r>
        <w:t>(2) The management, and the dissolution and liquidation before the effective date of a requesting party protection membership corporation established pursuant to the provisions of Article 18, paragraph (1) of the Supplementary Provisions of the Amendment Act, are to be pursuant to the provisions of Chapter VI, Section 2 of the new Act.</w:t>
      </w:r>
    </w:p>
    <w:p w:rsidR="00E600EE" w:rsidRDefault="00E600EE"/>
    <w:p w:rsidR="00E600EE" w:rsidRDefault="00B368A0">
      <w:pPr>
        <w:pStyle w:val="ena"/>
      </w:pPr>
      <w:r>
        <w:t>(Due Date for Application for Succession of Businesses to the Requesting Party Protection Funds)</w:t>
      </w:r>
    </w:p>
    <w:p w:rsidR="00E600EE" w:rsidRDefault="00B368A0">
      <w:pPr>
        <w:pStyle w:val="enf3"/>
      </w:pPr>
      <w:r>
        <w:t>Article 4  The day specified by Cabinet Order as referred to in Article 19, paragraph (1) of the Supplementary Provisions of the Amendment Act is April 30, 2006.</w:t>
      </w:r>
    </w:p>
    <w:p w:rsidR="00E600EE" w:rsidRDefault="00E600EE"/>
    <w:p w:rsidR="00E600EE" w:rsidRDefault="00B368A0">
      <w:pPr>
        <w:pStyle w:val="ena"/>
      </w:pPr>
      <w:r>
        <w:t>(Commission of Registration of Dissolution of the Association of Compensation Funds for Consigned Liabilities in Commodity Futures)</w:t>
      </w:r>
    </w:p>
    <w:p w:rsidR="00E600EE" w:rsidRDefault="00B368A0">
      <w:pPr>
        <w:pStyle w:val="enf3"/>
      </w:pPr>
      <w:r>
        <w:t>Article 5  (1) If the Association of Compensation Funds for Consigned Liabilities in Commodity Futures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E600EE" w:rsidRDefault="00B368A0">
      <w:pPr>
        <w:pStyle w:val="enf4"/>
      </w:pPr>
      <w:r>
        <w:t>(2) The registrar must close the registration record when they have registered the dissolution related to the commission under the preceding paragraph.</w:t>
      </w:r>
    </w:p>
    <w:p w:rsidR="00E600EE" w:rsidRDefault="00E600EE"/>
    <w:p w:rsidR="00E600EE" w:rsidRDefault="00B368A0">
      <w:pPr>
        <w:pStyle w:val="ena"/>
      </w:pPr>
      <w:r>
        <w:t>(Special Provisions for Taxation)</w:t>
      </w:r>
    </w:p>
    <w:p w:rsidR="00E600EE" w:rsidRDefault="00B368A0">
      <w:pPr>
        <w:pStyle w:val="enf3"/>
      </w:pPr>
      <w:r>
        <w:t>Article 5-2  (1) If a requesting party protection membership corporation as a requesting party protection fund (meaning a requesting party protection fund prescribed in Article 296 of the new Act) has succeeded to the assets and liabilities held by the Association of Compensation Funds pursuant to the provisions of Article 19, paragraph (5) of the Supplementary Provisions of the Amendment Act (the requesting party protection membership corporation is simply referred to as a "requesting party protection fund</w:t>
      </w:r>
      <w:r>
        <w:t>" in the following paragraph), the amount obtained by deducting the value of the liabilities at the time of the succession from the value of the assets at the time of the succession is to be the capital surplus prescribed in Article 2, item (xvii) of the Corporation Tax Act (Act No. 34 of 1965).</w:t>
      </w:r>
    </w:p>
    <w:p w:rsidR="00E600EE" w:rsidRDefault="00B368A0">
      <w:pPr>
        <w:pStyle w:val="enf4"/>
      </w:pPr>
      <w:r>
        <w:t>(2) In the case referred to in the preceding paragraph, with regard to securities prescribed in Article 2, item (xxi) of the Corporation Tax Act among the assets to which the requesting party protection fund succeeds, the value of the securities which were under the accounting of the Association of Compensation Funds on the day preceding the day of the succession is deemed to be the value at the time of the succession prescribed in that paragraph.</w:t>
      </w:r>
    </w:p>
    <w:p w:rsidR="00E600EE" w:rsidRDefault="00E600EE"/>
    <w:p w:rsidR="00E600EE" w:rsidRDefault="00B368A0">
      <w:pPr>
        <w:pStyle w:val="en2"/>
      </w:pPr>
      <w:r>
        <w:t>Supplementary Provisions  [Cabinet Order No. 24 of February 18, 2005]  [Extract]</w:t>
      </w:r>
    </w:p>
    <w:p w:rsidR="00E600EE" w:rsidRDefault="00E600EE"/>
    <w:p w:rsidR="00E600EE" w:rsidRDefault="00B368A0">
      <w:pPr>
        <w:pStyle w:val="ena"/>
      </w:pPr>
      <w:r>
        <w:t>(Effective Date)</w:t>
      </w:r>
    </w:p>
    <w:p w:rsidR="00E600EE" w:rsidRDefault="00B368A0">
      <w:pPr>
        <w:pStyle w:val="enf3"/>
      </w:pPr>
      <w:r>
        <w:t xml:space="preserve">Article 1  This Cabinet Order comes into effect on </w:t>
      </w:r>
      <w:r>
        <w:t>the day on which the Real Property Registration Act comes into effect (March 7, 2005).</w:t>
      </w:r>
    </w:p>
    <w:p w:rsidR="00E600EE" w:rsidRDefault="00E600EE"/>
    <w:p w:rsidR="00E600EE" w:rsidRDefault="00B368A0">
      <w:pPr>
        <w:pStyle w:val="en2"/>
      </w:pPr>
      <w:r>
        <w:t>Supplementary Provisions  [Cabinet Order No. 166 of April 27, 2005]</w:t>
      </w:r>
    </w:p>
    <w:p w:rsidR="00E600EE" w:rsidRDefault="00E600EE"/>
    <w:p w:rsidR="00E600EE" w:rsidRDefault="00B368A0">
      <w:pPr>
        <w:pStyle w:val="enf5"/>
      </w:pPr>
      <w:r>
        <w:t>This Cabinet Order comes into effect on the day of promulgation.</w:t>
      </w:r>
    </w:p>
    <w:p w:rsidR="00E600EE" w:rsidRDefault="00E600EE"/>
    <w:p w:rsidR="00E600EE" w:rsidRDefault="00B368A0">
      <w:pPr>
        <w:pStyle w:val="en2"/>
      </w:pPr>
      <w:r>
        <w:t>Supplementary Provisions  [Cabinet Order No. 180 of April 26, 2006]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Companies Act comes into effect (May 1, 2006).</w:t>
      </w:r>
    </w:p>
    <w:p w:rsidR="00E600EE" w:rsidRDefault="00E600EE"/>
    <w:p w:rsidR="00E600EE" w:rsidRDefault="00B368A0">
      <w:pPr>
        <w:pStyle w:val="en2"/>
      </w:pPr>
      <w:r>
        <w:t xml:space="preserve">Supplementary Provisions  [Cabinet Order No. 233 of August 3, 2007]  </w:t>
      </w:r>
      <w:r>
        <w:t>[Extract]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Amendment Act comes into effect.</w:t>
      </w:r>
    </w:p>
    <w:p w:rsidR="00E600EE" w:rsidRDefault="00E600EE"/>
    <w:p w:rsidR="00E600EE" w:rsidRDefault="00B368A0">
      <w:pPr>
        <w:pStyle w:val="ena"/>
      </w:pPr>
      <w:r>
        <w:t>(Transitional Measures for Application of Penal Provisions)</w:t>
      </w:r>
    </w:p>
    <w:p w:rsidR="00E600EE" w:rsidRDefault="00B368A0">
      <w:pPr>
        <w:pStyle w:val="enf3"/>
      </w:pPr>
      <w:r>
        <w:t>Article 64  Prior laws continue to govern the applicability of penal provisions to acts committed before the effective date or acts committed on or after the effective date for cases in which the provisions previously in force are to remain applicable pursuant to the provisions of these Supplementary Provisions.</w:t>
      </w:r>
    </w:p>
    <w:p w:rsidR="00E600EE" w:rsidRDefault="00E600EE"/>
    <w:p w:rsidR="00E600EE" w:rsidRDefault="00B368A0">
      <w:pPr>
        <w:pStyle w:val="en2"/>
      </w:pPr>
      <w:r>
        <w:t>Supplementary Provisions  [Cabinet Order No. 180 of May 21, 2008]  [Extract]</w:t>
      </w:r>
    </w:p>
    <w:p w:rsidR="00E600EE" w:rsidRDefault="00E600EE"/>
    <w:p w:rsidR="00E600EE" w:rsidRDefault="00B368A0">
      <w:pPr>
        <w:pStyle w:val="ena"/>
      </w:pPr>
      <w:r>
        <w:t>(Effective Date)</w:t>
      </w:r>
    </w:p>
    <w:p w:rsidR="00E600EE" w:rsidRDefault="00B368A0">
      <w:pPr>
        <w:pStyle w:val="enf3"/>
      </w:pPr>
      <w:r>
        <w:t>Article 1  This Cabinet Order comes into effect on October 1, 2008.</w:t>
      </w:r>
    </w:p>
    <w:p w:rsidR="00E600EE" w:rsidRDefault="00E600EE"/>
    <w:p w:rsidR="00E600EE" w:rsidRDefault="00B368A0">
      <w:pPr>
        <w:pStyle w:val="ena"/>
      </w:pPr>
      <w:r>
        <w:t>(Transitional Measures for Penal Provisions)</w:t>
      </w:r>
    </w:p>
    <w:p w:rsidR="00E600EE" w:rsidRDefault="00B368A0">
      <w:pPr>
        <w:pStyle w:val="enf3"/>
      </w:pPr>
      <w:r>
        <w:t>Article 4  Prior laws continue to govern the applicability of penal provisions to acts committed before the enforcement of this Cabinet Order.</w:t>
      </w:r>
    </w:p>
    <w:p w:rsidR="00E600EE" w:rsidRDefault="00E600EE"/>
    <w:p w:rsidR="00E600EE" w:rsidRDefault="00B368A0">
      <w:pPr>
        <w:pStyle w:val="en2"/>
      </w:pPr>
      <w:r>
        <w:t>Supplementary Provisions  [Cabinet Order No. 219 of July 4, 2008]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for Partial Amendment of the Act on Book-Entry Transfer of Corporate Bonds for Streamlining Settlement of Transactions of Shares and Other Acts (referred to below as the "amending Act") comes into effect.</w:t>
      </w:r>
    </w:p>
    <w:p w:rsidR="00E600EE" w:rsidRDefault="00E600EE"/>
    <w:p w:rsidR="00E600EE" w:rsidRDefault="00B368A0">
      <w:pPr>
        <w:pStyle w:val="en2"/>
      </w:pPr>
      <w:r>
        <w:t>Supplementary Provisions  [Cabinet Order No. 237 of July 25, 2008]  [Extract]</w:t>
      </w:r>
    </w:p>
    <w:p w:rsidR="00E600EE" w:rsidRDefault="00E600EE"/>
    <w:p w:rsidR="00E600EE" w:rsidRDefault="00B368A0">
      <w:pPr>
        <w:pStyle w:val="ena"/>
      </w:pPr>
      <w:r>
        <w:t>(Effective Date)</w:t>
      </w:r>
    </w:p>
    <w:p w:rsidR="00E600EE" w:rsidRDefault="00B368A0">
      <w:pPr>
        <w:pStyle w:val="enf3"/>
      </w:pPr>
      <w:r>
        <w:t>Article 1  This Cabinet Order comes into effect on October 1, 2008.</w:t>
      </w:r>
    </w:p>
    <w:p w:rsidR="00E600EE" w:rsidRDefault="00E600EE"/>
    <w:p w:rsidR="00E600EE" w:rsidRDefault="00B368A0">
      <w:pPr>
        <w:pStyle w:val="en2"/>
      </w:pPr>
      <w:r>
        <w:t>Supplementary Provisions  [Cabinet Order No. 228 of August 28, 2009]</w:t>
      </w:r>
    </w:p>
    <w:p w:rsidR="00E600EE" w:rsidRDefault="00E600EE"/>
    <w:p w:rsidR="00E600EE" w:rsidRDefault="00B368A0">
      <w:pPr>
        <w:pStyle w:val="enf5"/>
      </w:pPr>
      <w:r>
        <w:t xml:space="preserve">This Cabinet Order comes into effect on the day on which </w:t>
      </w:r>
      <w:r>
        <w:t>the provisions stated in Article 1, item (ii) of the Supplementary Provisions of the Act for Partial Amendment of the Commodity Derivatives Transaction Act and the Act on Regulation of Commodity Investment come into effect (January 8, 2009).</w:t>
      </w:r>
    </w:p>
    <w:p w:rsidR="00E600EE" w:rsidRDefault="00E600EE"/>
    <w:p w:rsidR="00E600EE" w:rsidRDefault="00B368A0">
      <w:pPr>
        <w:pStyle w:val="en2"/>
      </w:pPr>
      <w:r>
        <w:t>Supplementary Provisions  [Cabinet Order No. 301 of December 28, 2009]</w:t>
      </w:r>
    </w:p>
    <w:p w:rsidR="00E600EE" w:rsidRDefault="00E600EE"/>
    <w:p w:rsidR="00E600EE" w:rsidRDefault="00B368A0">
      <w:pPr>
        <w:pStyle w:val="enf5"/>
      </w:pPr>
      <w:r>
        <w:t>This Cabinet Order comes into effect on the day of on which the provisions stated in Article 1, item (iii) of the Supplementary Provisions of the Act for Partial Amendment of the Commodity Derivatives Transaction Act and the Act on Regulation of Commodity Investment come into effect (Act No. 74 of 2009) come into effect (July 1, 2010).</w:t>
      </w:r>
    </w:p>
    <w:p w:rsidR="00E600EE" w:rsidRDefault="00E600EE"/>
    <w:p w:rsidR="00E600EE" w:rsidRDefault="00B368A0">
      <w:pPr>
        <w:pStyle w:val="en2"/>
      </w:pPr>
      <w:r>
        <w:t>Supplementary Provisions  [Cabinet Order No. 196 of September 10, 2010]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Amendment Act comes into effect (January 1, 2011).</w:t>
      </w:r>
    </w:p>
    <w:p w:rsidR="00E600EE" w:rsidRDefault="00E600EE"/>
    <w:p w:rsidR="00E600EE" w:rsidRDefault="00B368A0">
      <w:pPr>
        <w:pStyle w:val="en2"/>
      </w:pPr>
      <w:r>
        <w:t>Supplementary Provisions  [Cabinet Order No. 197 of July 19, 2012]</w:t>
      </w:r>
    </w:p>
    <w:p w:rsidR="00E600EE" w:rsidRDefault="00E600EE"/>
    <w:p w:rsidR="00E600EE" w:rsidRDefault="00B368A0">
      <w:pPr>
        <w:pStyle w:val="enf5"/>
      </w:pPr>
      <w:r>
        <w:t>This Cabinet Order comes into effect on the day on which the New Non-Contentious Case Procedures Act comes into effect (January 1, 2013).</w:t>
      </w:r>
    </w:p>
    <w:p w:rsidR="00E600EE" w:rsidRDefault="00E600EE"/>
    <w:p w:rsidR="00E600EE" w:rsidRDefault="00B368A0">
      <w:pPr>
        <w:pStyle w:val="en2"/>
      </w:pPr>
      <w:r>
        <w:t>Supplementary Provisions  [Cabinet Order No. 246 of July 2, 2014]</w:t>
      </w:r>
    </w:p>
    <w:p w:rsidR="00E600EE" w:rsidRDefault="00E600EE"/>
    <w:p w:rsidR="00E600EE" w:rsidRDefault="00B368A0">
      <w:pPr>
        <w:pStyle w:val="enf5"/>
      </w:pPr>
      <w:r>
        <w:t>This Cabinet Order comes into effect on the day on which the provisions stated in Article 1, item (iii) of the Supplementary Provisions of the Act Partially Amending the Financial Instruments and Exchange Act come into effect (December 1, 2014).</w:t>
      </w:r>
    </w:p>
    <w:p w:rsidR="00E600EE" w:rsidRDefault="00E600EE"/>
    <w:p w:rsidR="00E600EE" w:rsidRDefault="00B368A0">
      <w:pPr>
        <w:pStyle w:val="en2"/>
      </w:pPr>
      <w:r>
        <w:t>Supplementary Provisions  [Cabinet Order No. 225 of April 30, 2015]</w:t>
      </w:r>
    </w:p>
    <w:p w:rsidR="00E600EE" w:rsidRDefault="00E600EE"/>
    <w:p w:rsidR="00E600EE" w:rsidRDefault="00B368A0">
      <w:pPr>
        <w:pStyle w:val="enf5"/>
      </w:pPr>
      <w:r>
        <w:t>This Cabinet Order comes into effect on the day on which the Act Partially Amending the Companies Act comes into effect (May 1, 2015).</w:t>
      </w:r>
    </w:p>
    <w:p w:rsidR="00E600EE" w:rsidRDefault="00E600EE"/>
    <w:p w:rsidR="00E600EE" w:rsidRDefault="00B368A0">
      <w:pPr>
        <w:pStyle w:val="en2"/>
      </w:pPr>
      <w:r>
        <w:t>Supplementary Provisions  [Cabinet Order No. 319 of September 9, 2015]  [Extract]</w:t>
      </w:r>
    </w:p>
    <w:p w:rsidR="00E600EE" w:rsidRDefault="00E600EE"/>
    <w:p w:rsidR="00E600EE" w:rsidRDefault="00B368A0">
      <w:pPr>
        <w:pStyle w:val="ena"/>
      </w:pPr>
      <w:r>
        <w:t>(Effective Date)</w:t>
      </w:r>
    </w:p>
    <w:p w:rsidR="00E600EE" w:rsidRDefault="00B368A0">
      <w:pPr>
        <w:pStyle w:val="enf3"/>
      </w:pPr>
      <w:r>
        <w:t>Article 1  This Cabinet Order comes into effect on October 1, 2015.</w:t>
      </w:r>
    </w:p>
    <w:p w:rsidR="00E600EE" w:rsidRDefault="00E600EE"/>
    <w:p w:rsidR="00E600EE" w:rsidRDefault="00B368A0">
      <w:pPr>
        <w:pStyle w:val="ena"/>
      </w:pPr>
      <w:r>
        <w:t>(Transitional Measures Concerning Dispositions, Applications, etc.)</w:t>
      </w:r>
    </w:p>
    <w:p w:rsidR="00E600EE" w:rsidRDefault="00B368A0">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 "disposition, etc." ) is deemed to b</w:t>
      </w:r>
      <w:r>
        <w:t>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an "app</w:t>
      </w:r>
      <w:r>
        <w:t>lication, etc.") is deemed to be an application, etc. filed with the Director of the Hokkaido District Agriculture Office.</w:t>
      </w:r>
    </w:p>
    <w:p w:rsidR="00E600EE" w:rsidRDefault="00B368A0">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to it.</w:t>
      </w:r>
    </w:p>
    <w:p w:rsidR="00E600EE" w:rsidRDefault="00E600EE"/>
    <w:p w:rsidR="00E600EE" w:rsidRDefault="00B368A0">
      <w:pPr>
        <w:pStyle w:val="ena"/>
      </w:pPr>
      <w:r>
        <w:t>(Transitional Measures Concerning Penal Provisions)</w:t>
      </w:r>
    </w:p>
    <w:p w:rsidR="00E600EE" w:rsidRDefault="00B368A0">
      <w:pPr>
        <w:pStyle w:val="enf3"/>
      </w:pPr>
      <w:r>
        <w:t>Article 3  Prior laws continue to govern the applicability of penal provisions to acts committed before the enforcement of this Cabinet Order.</w:t>
      </w:r>
    </w:p>
    <w:p w:rsidR="00E600EE" w:rsidRDefault="00E600EE"/>
    <w:p w:rsidR="00E600EE" w:rsidRDefault="00B368A0">
      <w:pPr>
        <w:pStyle w:val="en2"/>
      </w:pPr>
      <w:r>
        <w:t>Supplementary Provisions  [Cabinet Order No. 43 of February 17, 2016]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Amendment Act comes into effect (April 1, 2016).</w:t>
      </w:r>
    </w:p>
    <w:p w:rsidR="00E600EE" w:rsidRDefault="00E600EE"/>
    <w:p w:rsidR="00E600EE" w:rsidRDefault="00B368A0">
      <w:pPr>
        <w:pStyle w:val="en2"/>
      </w:pPr>
      <w:r>
        <w:t>Supplementary Provisions  [Cabinet Order No. 103 of March 31, 2016]  [Extract]</w:t>
      </w:r>
    </w:p>
    <w:p w:rsidR="00E600EE" w:rsidRDefault="00E600EE"/>
    <w:p w:rsidR="00E600EE" w:rsidRDefault="00B368A0">
      <w:pPr>
        <w:pStyle w:val="ena"/>
      </w:pPr>
      <w:r>
        <w:t>(Effective Date)</w:t>
      </w:r>
    </w:p>
    <w:p w:rsidR="00E600EE" w:rsidRDefault="00B368A0">
      <w:pPr>
        <w:pStyle w:val="enf4"/>
      </w:pPr>
      <w:r>
        <w:t>(1) This Cabinet Order comes into effect on April 1, 2016.</w:t>
      </w:r>
    </w:p>
    <w:p w:rsidR="00E600EE" w:rsidRDefault="00E600EE"/>
    <w:p w:rsidR="00E600EE" w:rsidRDefault="00B368A0">
      <w:pPr>
        <w:pStyle w:val="en2"/>
      </w:pPr>
      <w:r>
        <w:t>Supplementary Provisions  [Cabinet Order No. 326 of December 27, 2017]</w:t>
      </w:r>
    </w:p>
    <w:p w:rsidR="00E600EE" w:rsidRDefault="00E600EE"/>
    <w:p w:rsidR="00E600EE" w:rsidRDefault="00B368A0">
      <w:pPr>
        <w:pStyle w:val="enf5"/>
      </w:pPr>
      <w:r>
        <w:t xml:space="preserve">This Cabinet Order comes into effect on the day on which the Act Partially Amending the Financial </w:t>
      </w:r>
      <w:r>
        <w:t>Instruments and Exchange Act comes into effect (April 1, 2018).</w:t>
      </w:r>
    </w:p>
    <w:p w:rsidR="00E600EE" w:rsidRDefault="00E600EE"/>
    <w:p w:rsidR="00E600EE" w:rsidRDefault="00B368A0">
      <w:pPr>
        <w:pStyle w:val="en2"/>
      </w:pPr>
      <w:r>
        <w:t>Supplementary Provisions  [Cabinet Order No. 183 of December 13, 2019]  [Extract]</w:t>
      </w:r>
    </w:p>
    <w:p w:rsidR="00E600EE" w:rsidRDefault="00E600EE"/>
    <w:p w:rsidR="00E600EE" w:rsidRDefault="00B368A0">
      <w:pPr>
        <w:pStyle w:val="ena"/>
      </w:pPr>
      <w:r>
        <w:t>(Effective Date)</w:t>
      </w:r>
    </w:p>
    <w:p w:rsidR="00E600EE" w:rsidRDefault="00B368A0">
      <w:pPr>
        <w:pStyle w:val="enf3"/>
      </w:pPr>
      <w:r>
        <w:t>Article 1  This Cabinet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E600EE" w:rsidRDefault="00E600EE"/>
    <w:p w:rsidR="00E600EE" w:rsidRDefault="00B368A0">
      <w:pPr>
        <w:pStyle w:val="en2"/>
      </w:pPr>
      <w:r>
        <w:t>Supplementary Provisions  [Cabinet Order No. 162 of June 2, 2021]  [Extract]</w:t>
      </w:r>
    </w:p>
    <w:p w:rsidR="00E600EE" w:rsidRDefault="00E600EE"/>
    <w:p w:rsidR="00E600EE" w:rsidRDefault="00B368A0">
      <w:pPr>
        <w:pStyle w:val="ena"/>
      </w:pPr>
      <w:r>
        <w:t>(Effective Date)</w:t>
      </w:r>
    </w:p>
    <w:p w:rsidR="00E600EE" w:rsidRDefault="00B368A0">
      <w:pPr>
        <w:pStyle w:val="enf4"/>
      </w:pPr>
      <w:r>
        <w:t xml:space="preserve">(1) This Cabinet Order </w:t>
      </w:r>
      <w:r>
        <w:t>comes into effect on the day on which the Act Partially Amending the Act on the Provision of Financial Services and Other Acts to Improve Convenience for Users of Financial Services and to Help Protect Them (referred to below as the "Amendment Act") comes into effect (November 1, 2021).</w:t>
      </w:r>
    </w:p>
    <w:p w:rsidR="00E600EE" w:rsidRDefault="00E600EE"/>
    <w:p w:rsidR="00E600EE" w:rsidRDefault="00B368A0">
      <w:pPr>
        <w:pStyle w:val="en2"/>
      </w:pPr>
      <w:r>
        <w:t>Supplementary Provisions  [Cabinet Order No. 195 of July 2, 2021]  [Extract]</w:t>
      </w:r>
    </w:p>
    <w:p w:rsidR="00E600EE" w:rsidRDefault="00E600EE"/>
    <w:p w:rsidR="00E600EE" w:rsidRDefault="00B368A0">
      <w:pPr>
        <w:pStyle w:val="ena"/>
      </w:pPr>
      <w:r>
        <w:t>(Effective Date)</w:t>
      </w:r>
    </w:p>
    <w:p w:rsidR="00E600EE" w:rsidRDefault="00B368A0">
      <w:pPr>
        <w:pStyle w:val="enf4"/>
      </w:pPr>
      <w:r>
        <w:t>(1) This Cabinet Order comes into effect on September 1, 2021.</w:t>
      </w:r>
    </w:p>
    <w:p w:rsidR="00E600EE" w:rsidRDefault="00E600EE"/>
    <w:p w:rsidR="00E600EE" w:rsidRDefault="00B368A0">
      <w:pPr>
        <w:pStyle w:val="en2"/>
      </w:pPr>
      <w:r>
        <w:t>Supplementary Provisions  [Cabinet Order No. 68 of March 23, 2023]  [Extract]</w:t>
      </w:r>
    </w:p>
    <w:p w:rsidR="00E600EE" w:rsidRDefault="00E600EE"/>
    <w:p w:rsidR="00E600EE" w:rsidRDefault="00B368A0">
      <w:pPr>
        <w:pStyle w:val="ena"/>
      </w:pPr>
      <w:r>
        <w:t>(Effective Date)</w:t>
      </w:r>
    </w:p>
    <w:p w:rsidR="00E600EE" w:rsidRDefault="00B368A0">
      <w:pPr>
        <w:pStyle w:val="enf4"/>
      </w:pPr>
      <w:r>
        <w:t>(1) This Cabinet Order comes into effect on April 1, 2023.</w:t>
      </w:r>
    </w:p>
    <w:p w:rsidR="00E600EE" w:rsidRDefault="00E600EE"/>
    <w:p w:rsidR="00E600EE" w:rsidRDefault="00B368A0">
      <w:pPr>
        <w:pStyle w:val="en2"/>
      </w:pPr>
      <w:r>
        <w:t>Supplementary Provisions  [Cabinet Order No. 22 of January 31, 2024]  [Extract]</w:t>
      </w:r>
    </w:p>
    <w:p w:rsidR="00E600EE" w:rsidRDefault="00E600EE"/>
    <w:p w:rsidR="00E600EE" w:rsidRDefault="00B368A0">
      <w:pPr>
        <w:pStyle w:val="ena"/>
      </w:pPr>
      <w:r>
        <w:t>(Effective Date)</w:t>
      </w:r>
    </w:p>
    <w:p w:rsidR="00E600EE" w:rsidRDefault="00B368A0">
      <w:pPr>
        <w:pStyle w:val="enf4"/>
      </w:pPr>
      <w:r>
        <w:t>(1) This Cabinet Order comes into effect on the day on which the provisions stated in Article 1, item (ii) of the Supplementary Provisions of the Act Partially Amending the Financial Instruments and Exchange Act come into effect (February 1, 2024).</w:t>
      </w:r>
    </w:p>
    <w:p w:rsidR="00E600EE" w:rsidRDefault="00E600EE"/>
    <w:p w:rsidR="00E600EE" w:rsidRDefault="00B368A0">
      <w:pPr>
        <w:pStyle w:val="en2"/>
      </w:pPr>
      <w:r>
        <w:t>Supplementary Provisions  [Cabinet Order No. 22 of January 31, 2024]  [Extract]</w:t>
      </w:r>
    </w:p>
    <w:p w:rsidR="00E600EE" w:rsidRDefault="00E600EE"/>
    <w:p w:rsidR="00E600EE" w:rsidRDefault="00B368A0">
      <w:pPr>
        <w:pStyle w:val="enf5"/>
      </w:pPr>
      <w:r>
        <w:t>This Cabinet Order comes into effect as of December 15, 2024.</w:t>
      </w:r>
    </w:p>
    <w:sectPr w:rsidR="00E600EE" w:rsidSect="00E600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00EE" w:rsidRDefault="00E600EE" w:rsidP="00E600EE">
      <w:r>
        <w:separator/>
      </w:r>
    </w:p>
  </w:endnote>
  <w:endnote w:type="continuationSeparator" w:id="0">
    <w:p w:rsidR="00E600EE" w:rsidRDefault="00E600EE" w:rsidP="00E6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00EE" w:rsidRDefault="00E600EE">
    <w:pPr>
      <w:pStyle w:val="a3"/>
    </w:pPr>
    <w:r>
      <w:fldChar w:fldCharType="begin"/>
    </w:r>
    <w:r>
      <w:instrText xml:space="preserve"> PAGE  \* MERGEFORMAT </w:instrText>
    </w:r>
    <w:r>
      <w:fldChar w:fldCharType="separate"/>
    </w:r>
    <w:r w:rsidR="00B368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00EE" w:rsidRDefault="00E600EE" w:rsidP="00E600EE">
      <w:r>
        <w:separator/>
      </w:r>
    </w:p>
  </w:footnote>
  <w:footnote w:type="continuationSeparator" w:id="0">
    <w:p w:rsidR="00E600EE" w:rsidRDefault="00E600EE" w:rsidP="00E6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CE6"/>
    <w:multiLevelType w:val="multilevel"/>
    <w:tmpl w:val="01D6D5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91A58"/>
    <w:multiLevelType w:val="multilevel"/>
    <w:tmpl w:val="B4CC76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7A5084"/>
    <w:multiLevelType w:val="multilevel"/>
    <w:tmpl w:val="406A77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031860"/>
    <w:multiLevelType w:val="multilevel"/>
    <w:tmpl w:val="9C4CBC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476D8C"/>
    <w:multiLevelType w:val="multilevel"/>
    <w:tmpl w:val="E6AE47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C6337E"/>
    <w:multiLevelType w:val="multilevel"/>
    <w:tmpl w:val="49F23E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3516A8"/>
    <w:multiLevelType w:val="multilevel"/>
    <w:tmpl w:val="DA7EAA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684E9E"/>
    <w:multiLevelType w:val="multilevel"/>
    <w:tmpl w:val="79540D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24327D"/>
    <w:multiLevelType w:val="multilevel"/>
    <w:tmpl w:val="51267E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8B0EB1"/>
    <w:multiLevelType w:val="multilevel"/>
    <w:tmpl w:val="A58450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9F7367"/>
    <w:multiLevelType w:val="multilevel"/>
    <w:tmpl w:val="26BC51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8011470"/>
    <w:multiLevelType w:val="multilevel"/>
    <w:tmpl w:val="90C8E1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E8013D"/>
    <w:multiLevelType w:val="multilevel"/>
    <w:tmpl w:val="7A9294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9293841">
    <w:abstractNumId w:val="1"/>
  </w:num>
  <w:num w:numId="2" w16cid:durableId="1543323281">
    <w:abstractNumId w:val="5"/>
  </w:num>
  <w:num w:numId="3" w16cid:durableId="1005592887">
    <w:abstractNumId w:val="11"/>
  </w:num>
  <w:num w:numId="4" w16cid:durableId="515534132">
    <w:abstractNumId w:val="3"/>
  </w:num>
  <w:num w:numId="5" w16cid:durableId="568228913">
    <w:abstractNumId w:val="2"/>
  </w:num>
  <w:num w:numId="6" w16cid:durableId="506020207">
    <w:abstractNumId w:val="0"/>
  </w:num>
  <w:num w:numId="7" w16cid:durableId="1747218073">
    <w:abstractNumId w:val="8"/>
  </w:num>
  <w:num w:numId="8" w16cid:durableId="122892193">
    <w:abstractNumId w:val="10"/>
  </w:num>
  <w:num w:numId="9" w16cid:durableId="98381010">
    <w:abstractNumId w:val="6"/>
  </w:num>
  <w:num w:numId="10" w16cid:durableId="1684210209">
    <w:abstractNumId w:val="12"/>
  </w:num>
  <w:num w:numId="11" w16cid:durableId="1283922300">
    <w:abstractNumId w:val="4"/>
  </w:num>
  <w:num w:numId="12" w16cid:durableId="542592843">
    <w:abstractNumId w:val="7"/>
  </w:num>
  <w:num w:numId="13" w16cid:durableId="497039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00EE"/>
    <w:rsid w:val="00A34AEB"/>
    <w:rsid w:val="00B368A0"/>
    <w:rsid w:val="00E600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0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00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00EE"/>
    <w:rPr>
      <w:rFonts w:ascii="Century" w:eastAsia="Century" w:hAnsi="Century"/>
    </w:rPr>
  </w:style>
  <w:style w:type="paragraph" w:customStyle="1" w:styleId="ja0">
    <w:name w:val="款（ja）"/>
    <w:basedOn w:val="a"/>
    <w:rsid w:val="00E600EE"/>
    <w:pPr>
      <w:widowControl w:val="0"/>
      <w:ind w:left="1321" w:hanging="221"/>
    </w:pPr>
    <w:rPr>
      <w:rFonts w:ascii="ＭＳ 明朝" w:eastAsia="ＭＳ 明朝" w:hAnsi="ＭＳ 明朝" w:cs="ＭＳ 明朝"/>
      <w:b/>
    </w:rPr>
  </w:style>
  <w:style w:type="paragraph" w:customStyle="1" w:styleId="en0">
    <w:name w:val="款（en）"/>
    <w:basedOn w:val="ja0"/>
    <w:rsid w:val="00E600EE"/>
    <w:rPr>
      <w:rFonts w:ascii="Century" w:eastAsia="Century" w:hAnsi="Century" w:cs="Century"/>
    </w:rPr>
  </w:style>
  <w:style w:type="paragraph" w:customStyle="1" w:styleId="ja1">
    <w:name w:val="前文（ja）"/>
    <w:basedOn w:val="a"/>
    <w:rsid w:val="00E600EE"/>
    <w:pPr>
      <w:widowControl w:val="0"/>
      <w:ind w:firstLine="219"/>
    </w:pPr>
    <w:rPr>
      <w:rFonts w:ascii="ＭＳ 明朝" w:eastAsia="ＭＳ 明朝" w:hAnsi="ＭＳ 明朝" w:cs="ＭＳ 明朝"/>
    </w:rPr>
  </w:style>
  <w:style w:type="paragraph" w:customStyle="1" w:styleId="en1">
    <w:name w:val="前文（en）"/>
    <w:basedOn w:val="ja1"/>
    <w:rsid w:val="00E600EE"/>
    <w:rPr>
      <w:rFonts w:ascii="Century" w:eastAsia="Century" w:hAnsi="Century" w:cs="Century"/>
    </w:rPr>
  </w:style>
  <w:style w:type="paragraph" w:customStyle="1" w:styleId="ja2">
    <w:name w:val="附則（ja）"/>
    <w:basedOn w:val="a"/>
    <w:rsid w:val="00E600EE"/>
    <w:pPr>
      <w:widowControl w:val="0"/>
      <w:ind w:left="881" w:hanging="221"/>
    </w:pPr>
    <w:rPr>
      <w:rFonts w:ascii="ＭＳ 明朝" w:eastAsia="ＭＳ 明朝" w:hAnsi="ＭＳ 明朝" w:cs="ＭＳ 明朝"/>
      <w:b/>
    </w:rPr>
  </w:style>
  <w:style w:type="paragraph" w:customStyle="1" w:styleId="en2">
    <w:name w:val="附則（en）"/>
    <w:basedOn w:val="ja2"/>
    <w:rsid w:val="00E600EE"/>
    <w:rPr>
      <w:rFonts w:ascii="Century" w:hAnsi="Century" w:cs="Century"/>
    </w:rPr>
  </w:style>
  <w:style w:type="paragraph" w:customStyle="1" w:styleId="ja3">
    <w:name w:val="章（ja）"/>
    <w:basedOn w:val="a"/>
    <w:rsid w:val="00E600EE"/>
    <w:pPr>
      <w:widowControl w:val="0"/>
      <w:ind w:left="881" w:hanging="221"/>
    </w:pPr>
    <w:rPr>
      <w:rFonts w:ascii="ＭＳ 明朝" w:eastAsia="ＭＳ 明朝" w:hAnsi="ＭＳ 明朝" w:cs="ＭＳ 明朝"/>
      <w:b/>
    </w:rPr>
  </w:style>
  <w:style w:type="paragraph" w:customStyle="1" w:styleId="en3">
    <w:name w:val="章（en）"/>
    <w:basedOn w:val="ja3"/>
    <w:rsid w:val="00E600EE"/>
    <w:rPr>
      <w:rFonts w:ascii="Century" w:eastAsia="Century" w:hAnsi="Century" w:cs="Century"/>
    </w:rPr>
  </w:style>
  <w:style w:type="paragraph" w:customStyle="1" w:styleId="ja4">
    <w:name w:val="目次編（ja）"/>
    <w:basedOn w:val="a"/>
    <w:rsid w:val="00E600EE"/>
    <w:pPr>
      <w:widowControl w:val="0"/>
      <w:ind w:left="219" w:hanging="219"/>
    </w:pPr>
    <w:rPr>
      <w:rFonts w:ascii="ＭＳ 明朝" w:eastAsia="ＭＳ 明朝" w:hAnsi="ＭＳ 明朝"/>
    </w:rPr>
  </w:style>
  <w:style w:type="paragraph" w:customStyle="1" w:styleId="en4">
    <w:name w:val="目次編（en）"/>
    <w:basedOn w:val="ja4"/>
    <w:rsid w:val="00E600EE"/>
    <w:rPr>
      <w:rFonts w:ascii="Century" w:eastAsia="Century" w:hAnsi="Century"/>
    </w:rPr>
  </w:style>
  <w:style w:type="paragraph" w:customStyle="1" w:styleId="ja5">
    <w:name w:val="目次章（ja）"/>
    <w:basedOn w:val="a"/>
    <w:rsid w:val="00E600EE"/>
    <w:pPr>
      <w:widowControl w:val="0"/>
      <w:ind w:left="439" w:hanging="219"/>
    </w:pPr>
    <w:rPr>
      <w:rFonts w:ascii="ＭＳ 明朝" w:eastAsia="ＭＳ 明朝" w:hAnsi="ＭＳ 明朝"/>
    </w:rPr>
  </w:style>
  <w:style w:type="paragraph" w:customStyle="1" w:styleId="en5">
    <w:name w:val="目次章（en）"/>
    <w:basedOn w:val="ja5"/>
    <w:rsid w:val="00E600EE"/>
    <w:rPr>
      <w:rFonts w:ascii="Century" w:eastAsia="Century" w:hAnsi="Century"/>
    </w:rPr>
  </w:style>
  <w:style w:type="paragraph" w:customStyle="1" w:styleId="ja6">
    <w:name w:val="目次節（ja）"/>
    <w:basedOn w:val="a"/>
    <w:rsid w:val="00E600EE"/>
    <w:pPr>
      <w:widowControl w:val="0"/>
      <w:ind w:left="659" w:hanging="219"/>
    </w:pPr>
    <w:rPr>
      <w:rFonts w:ascii="ＭＳ 明朝" w:eastAsia="ＭＳ 明朝" w:hAnsi="ＭＳ 明朝"/>
    </w:rPr>
  </w:style>
  <w:style w:type="paragraph" w:customStyle="1" w:styleId="en6">
    <w:name w:val="目次節（en）"/>
    <w:basedOn w:val="ja6"/>
    <w:rsid w:val="00E600EE"/>
    <w:rPr>
      <w:rFonts w:ascii="Century" w:eastAsia="Century" w:hAnsi="Century"/>
    </w:rPr>
  </w:style>
  <w:style w:type="paragraph" w:customStyle="1" w:styleId="ja7">
    <w:name w:val="目次款（ja）"/>
    <w:basedOn w:val="a"/>
    <w:rsid w:val="00E600EE"/>
    <w:pPr>
      <w:widowControl w:val="0"/>
      <w:ind w:left="879" w:hanging="219"/>
    </w:pPr>
    <w:rPr>
      <w:rFonts w:ascii="ＭＳ 明朝" w:eastAsia="ＭＳ 明朝" w:hAnsi="ＭＳ 明朝" w:cs="Kochi Mincho"/>
    </w:rPr>
  </w:style>
  <w:style w:type="paragraph" w:customStyle="1" w:styleId="en7">
    <w:name w:val="目次款（en）"/>
    <w:basedOn w:val="ja7"/>
    <w:rsid w:val="00E600EE"/>
    <w:rPr>
      <w:rFonts w:ascii="Century" w:eastAsia="Century" w:hAnsi="Century"/>
    </w:rPr>
  </w:style>
  <w:style w:type="paragraph" w:customStyle="1" w:styleId="ja8">
    <w:name w:val="別表名（ja）"/>
    <w:basedOn w:val="a"/>
    <w:rsid w:val="00E600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00EE"/>
    <w:rPr>
      <w:rFonts w:ascii="Century" w:eastAsia="Century" w:hAnsi="Century" w:cs="Century"/>
    </w:rPr>
  </w:style>
  <w:style w:type="paragraph" w:customStyle="1" w:styleId="ja9">
    <w:name w:val="目（ja）"/>
    <w:basedOn w:val="a"/>
    <w:rsid w:val="00E600EE"/>
    <w:pPr>
      <w:widowControl w:val="0"/>
      <w:ind w:left="1541" w:hanging="221"/>
    </w:pPr>
    <w:rPr>
      <w:rFonts w:ascii="ＭＳ 明朝" w:eastAsia="ＭＳ 明朝" w:hAnsi="ＭＳ 明朝" w:cs="ＭＳ 明朝"/>
      <w:b/>
    </w:rPr>
  </w:style>
  <w:style w:type="paragraph" w:customStyle="1" w:styleId="en9">
    <w:name w:val="目（en）"/>
    <w:basedOn w:val="ja9"/>
    <w:rsid w:val="00E600EE"/>
    <w:rPr>
      <w:rFonts w:ascii="Century" w:eastAsia="Century" w:hAnsi="Century" w:cs="Century"/>
    </w:rPr>
  </w:style>
  <w:style w:type="paragraph" w:customStyle="1" w:styleId="jaa">
    <w:name w:val="見出し（ja）"/>
    <w:basedOn w:val="a"/>
    <w:rsid w:val="00E600EE"/>
    <w:pPr>
      <w:widowControl w:val="0"/>
      <w:ind w:left="439" w:hanging="219"/>
    </w:pPr>
    <w:rPr>
      <w:rFonts w:ascii="ＭＳ 明朝" w:eastAsia="ＭＳ 明朝" w:hAnsi="ＭＳ 明朝" w:cs="ＭＳ 明朝"/>
    </w:rPr>
  </w:style>
  <w:style w:type="paragraph" w:customStyle="1" w:styleId="ena">
    <w:name w:val="見出し（en）"/>
    <w:basedOn w:val="jaa"/>
    <w:rsid w:val="00E600EE"/>
    <w:rPr>
      <w:rFonts w:ascii="Century" w:eastAsia="Century" w:hAnsi="Century" w:cs="Century"/>
    </w:rPr>
  </w:style>
  <w:style w:type="paragraph" w:styleId="a3">
    <w:name w:val="footer"/>
    <w:basedOn w:val="a"/>
    <w:rsid w:val="00E600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00EE"/>
    <w:pPr>
      <w:widowControl w:val="0"/>
      <w:ind w:left="1099" w:hanging="219"/>
    </w:pPr>
    <w:rPr>
      <w:rFonts w:ascii="ＭＳ 明朝" w:eastAsia="ＭＳ 明朝" w:hAnsi="ＭＳ 明朝" w:cs="Kochi Mincho"/>
    </w:rPr>
  </w:style>
  <w:style w:type="paragraph" w:customStyle="1" w:styleId="enb">
    <w:name w:val="目次目（en）"/>
    <w:basedOn w:val="jab"/>
    <w:rsid w:val="00E600EE"/>
    <w:rPr>
      <w:rFonts w:ascii="Century" w:eastAsia="Century" w:hAnsi="Century"/>
    </w:rPr>
  </w:style>
  <w:style w:type="paragraph" w:customStyle="1" w:styleId="jac">
    <w:name w:val="目次附則（ja）"/>
    <w:basedOn w:val="a"/>
    <w:rsid w:val="00E600EE"/>
    <w:pPr>
      <w:widowControl w:val="0"/>
      <w:ind w:left="439" w:hanging="219"/>
    </w:pPr>
    <w:rPr>
      <w:rFonts w:ascii="ＭＳ 明朝" w:eastAsia="ＭＳ 明朝" w:hAnsi="ＭＳ 明朝" w:cs="Kochi Mincho"/>
    </w:rPr>
  </w:style>
  <w:style w:type="paragraph" w:customStyle="1" w:styleId="enc">
    <w:name w:val="目次附則（en）"/>
    <w:basedOn w:val="jac"/>
    <w:rsid w:val="00E600EE"/>
    <w:rPr>
      <w:rFonts w:ascii="Century" w:eastAsia="Century" w:hAnsi="Century" w:cs="Century"/>
    </w:rPr>
  </w:style>
  <w:style w:type="paragraph" w:customStyle="1" w:styleId="jad">
    <w:name w:val="目次前文（ja）"/>
    <w:basedOn w:val="jac"/>
    <w:rsid w:val="00E600EE"/>
  </w:style>
  <w:style w:type="paragraph" w:customStyle="1" w:styleId="end">
    <w:name w:val="目次前文（en）"/>
    <w:basedOn w:val="enc"/>
    <w:rsid w:val="00E600EE"/>
  </w:style>
  <w:style w:type="paragraph" w:customStyle="1" w:styleId="jae">
    <w:name w:val="制定文（ja）"/>
    <w:basedOn w:val="a"/>
    <w:rsid w:val="00E600EE"/>
    <w:pPr>
      <w:widowControl w:val="0"/>
      <w:ind w:firstLine="219"/>
    </w:pPr>
    <w:rPr>
      <w:rFonts w:ascii="ＭＳ 明朝" w:eastAsia="ＭＳ 明朝" w:hAnsi="ＭＳ 明朝" w:cs="ＭＳ 明朝"/>
    </w:rPr>
  </w:style>
  <w:style w:type="paragraph" w:customStyle="1" w:styleId="ene">
    <w:name w:val="制定文（en）"/>
    <w:basedOn w:val="jae"/>
    <w:rsid w:val="00E600EE"/>
    <w:rPr>
      <w:rFonts w:ascii="Century" w:eastAsia="Century" w:hAnsi="Century" w:cs="Century"/>
    </w:rPr>
  </w:style>
  <w:style w:type="paragraph" w:customStyle="1" w:styleId="jaf">
    <w:name w:val="法令番号（ja）"/>
    <w:basedOn w:val="a"/>
    <w:rsid w:val="00E600EE"/>
    <w:pPr>
      <w:widowControl w:val="0"/>
      <w:jc w:val="right"/>
    </w:pPr>
    <w:rPr>
      <w:rFonts w:ascii="ＭＳ 明朝" w:eastAsia="ＭＳ 明朝" w:hAnsi="ＭＳ 明朝" w:cs="Kochi Mincho"/>
    </w:rPr>
  </w:style>
  <w:style w:type="paragraph" w:customStyle="1" w:styleId="enf">
    <w:name w:val="法令番号（en）"/>
    <w:basedOn w:val="jaf"/>
    <w:rsid w:val="00E600EE"/>
    <w:rPr>
      <w:rFonts w:ascii="Century" w:eastAsia="Century" w:hAnsi="Century" w:cs="Century"/>
    </w:rPr>
  </w:style>
  <w:style w:type="paragraph" w:customStyle="1" w:styleId="jaf0">
    <w:name w:val="目次（ja）"/>
    <w:basedOn w:val="a"/>
    <w:rsid w:val="00E600EE"/>
    <w:rPr>
      <w:rFonts w:ascii="ＭＳ 明朝" w:eastAsia="ＭＳ 明朝" w:hAnsi="ＭＳ 明朝"/>
    </w:rPr>
  </w:style>
  <w:style w:type="paragraph" w:customStyle="1" w:styleId="enf0">
    <w:name w:val="目次（en）"/>
    <w:basedOn w:val="jaf0"/>
    <w:rsid w:val="00E600EE"/>
    <w:rPr>
      <w:rFonts w:ascii="Century" w:eastAsia="Century" w:hAnsi="Century"/>
    </w:rPr>
  </w:style>
  <w:style w:type="paragraph" w:customStyle="1" w:styleId="jaf1">
    <w:name w:val="編（ja）"/>
    <w:basedOn w:val="a"/>
    <w:rsid w:val="00E600EE"/>
    <w:pPr>
      <w:widowControl w:val="0"/>
      <w:ind w:left="661" w:hanging="221"/>
    </w:pPr>
    <w:rPr>
      <w:rFonts w:ascii="ＭＳ 明朝" w:eastAsia="ＭＳ 明朝" w:hAnsi="ＭＳ 明朝" w:cs="ＭＳ 明朝"/>
      <w:b/>
    </w:rPr>
  </w:style>
  <w:style w:type="paragraph" w:customStyle="1" w:styleId="enf1">
    <w:name w:val="編（en）"/>
    <w:basedOn w:val="jaf1"/>
    <w:rsid w:val="00E600EE"/>
    <w:rPr>
      <w:rFonts w:ascii="Century" w:eastAsia="Century" w:hAnsi="Century" w:cs="Century"/>
    </w:rPr>
  </w:style>
  <w:style w:type="paragraph" w:customStyle="1" w:styleId="jaf2">
    <w:name w:val="節（ja）"/>
    <w:basedOn w:val="a"/>
    <w:rsid w:val="00E600EE"/>
    <w:pPr>
      <w:widowControl w:val="0"/>
      <w:ind w:left="1101" w:hanging="221"/>
    </w:pPr>
    <w:rPr>
      <w:rFonts w:ascii="ＭＳ 明朝" w:eastAsia="ＭＳ 明朝" w:hAnsi="ＭＳ 明朝" w:cs="ＭＳ 明朝"/>
      <w:b/>
    </w:rPr>
  </w:style>
  <w:style w:type="paragraph" w:customStyle="1" w:styleId="enf2">
    <w:name w:val="節（en）"/>
    <w:basedOn w:val="jaf2"/>
    <w:rsid w:val="00E600EE"/>
    <w:rPr>
      <w:rFonts w:ascii="Century" w:eastAsia="Century" w:hAnsi="Century" w:cs="Century"/>
    </w:rPr>
  </w:style>
  <w:style w:type="paragraph" w:customStyle="1" w:styleId="jaf3">
    <w:name w:val="条（ja）"/>
    <w:basedOn w:val="a"/>
    <w:rsid w:val="00E600EE"/>
    <w:pPr>
      <w:widowControl w:val="0"/>
      <w:ind w:left="219" w:hanging="219"/>
    </w:pPr>
    <w:rPr>
      <w:rFonts w:ascii="ＭＳ 明朝" w:eastAsia="ＭＳ 明朝" w:hAnsi="ＭＳ 明朝" w:cs="ＭＳ 明朝"/>
    </w:rPr>
  </w:style>
  <w:style w:type="paragraph" w:customStyle="1" w:styleId="enf3">
    <w:name w:val="条（en）"/>
    <w:basedOn w:val="jaf3"/>
    <w:rsid w:val="00E600EE"/>
    <w:rPr>
      <w:rFonts w:ascii="Century" w:eastAsia="Century" w:hAnsi="Century" w:cs="Century"/>
    </w:rPr>
  </w:style>
  <w:style w:type="paragraph" w:customStyle="1" w:styleId="jaf4">
    <w:name w:val="項（ja）"/>
    <w:basedOn w:val="a"/>
    <w:rsid w:val="00E600EE"/>
    <w:pPr>
      <w:widowControl w:val="0"/>
      <w:ind w:left="219" w:hanging="219"/>
    </w:pPr>
    <w:rPr>
      <w:rFonts w:ascii="ＭＳ 明朝" w:eastAsia="ＭＳ 明朝" w:hAnsi="ＭＳ 明朝" w:cs="ＭＳ 明朝"/>
    </w:rPr>
  </w:style>
  <w:style w:type="paragraph" w:customStyle="1" w:styleId="enf4">
    <w:name w:val="項（en）"/>
    <w:basedOn w:val="jaf4"/>
    <w:rsid w:val="00E600EE"/>
    <w:rPr>
      <w:rFonts w:ascii="Century" w:eastAsia="Century" w:hAnsi="Century" w:cs="Century"/>
    </w:rPr>
  </w:style>
  <w:style w:type="paragraph" w:customStyle="1" w:styleId="jaf5">
    <w:name w:val="項　番号なし（ja）"/>
    <w:basedOn w:val="a"/>
    <w:rsid w:val="00E600EE"/>
    <w:pPr>
      <w:widowControl w:val="0"/>
      <w:ind w:firstLine="221"/>
    </w:pPr>
    <w:rPr>
      <w:rFonts w:ascii="ＭＳ 明朝" w:eastAsia="ＭＳ 明朝" w:hAnsi="ＭＳ 明朝" w:cs="ＭＳ 明朝"/>
    </w:rPr>
  </w:style>
  <w:style w:type="paragraph" w:customStyle="1" w:styleId="enf5">
    <w:name w:val="項　番号なし（en）"/>
    <w:basedOn w:val="jaf5"/>
    <w:rsid w:val="00E600EE"/>
    <w:rPr>
      <w:rFonts w:ascii="Century" w:eastAsia="Century" w:hAnsi="Century" w:cs="Century"/>
    </w:rPr>
  </w:style>
  <w:style w:type="paragraph" w:customStyle="1" w:styleId="jaf6">
    <w:name w:val="号（ja）"/>
    <w:basedOn w:val="a"/>
    <w:rsid w:val="00E600EE"/>
    <w:pPr>
      <w:widowControl w:val="0"/>
      <w:ind w:left="439" w:hanging="219"/>
    </w:pPr>
    <w:rPr>
      <w:rFonts w:ascii="ＭＳ 明朝" w:eastAsia="ＭＳ 明朝" w:hAnsi="ＭＳ 明朝" w:cs="ＭＳ 明朝"/>
    </w:rPr>
  </w:style>
  <w:style w:type="paragraph" w:customStyle="1" w:styleId="enf6">
    <w:name w:val="号（en）"/>
    <w:basedOn w:val="jaf6"/>
    <w:rsid w:val="00E600EE"/>
    <w:rPr>
      <w:rFonts w:ascii="Century" w:eastAsia="Century" w:hAnsi="Century" w:cs="Century"/>
    </w:rPr>
  </w:style>
  <w:style w:type="paragraph" w:customStyle="1" w:styleId="jaf7">
    <w:name w:val="号　番号なし（ja）"/>
    <w:basedOn w:val="a"/>
    <w:rsid w:val="00E600EE"/>
    <w:pPr>
      <w:widowControl w:val="0"/>
      <w:ind w:left="221" w:firstLine="221"/>
    </w:pPr>
    <w:rPr>
      <w:rFonts w:ascii="ＭＳ 明朝" w:eastAsia="ＭＳ 明朝" w:hAnsi="ＭＳ 明朝" w:cs="ＭＳ 明朝"/>
    </w:rPr>
  </w:style>
  <w:style w:type="paragraph" w:customStyle="1" w:styleId="enf7">
    <w:name w:val="号　番号なし（en）"/>
    <w:basedOn w:val="jaf7"/>
    <w:rsid w:val="00E600EE"/>
    <w:rPr>
      <w:rFonts w:ascii="Century" w:eastAsia="Century" w:hAnsi="Century" w:cs="Century"/>
    </w:rPr>
  </w:style>
  <w:style w:type="paragraph" w:customStyle="1" w:styleId="jaf8">
    <w:name w:val="備考号（ja）"/>
    <w:basedOn w:val="a"/>
    <w:rsid w:val="00E600EE"/>
    <w:pPr>
      <w:widowControl w:val="0"/>
      <w:ind w:left="659" w:hanging="219"/>
    </w:pPr>
    <w:rPr>
      <w:rFonts w:ascii="ＭＳ 明朝" w:eastAsia="ＭＳ 明朝" w:hAnsi="ＭＳ 明朝" w:cs="ＭＳ 明朝"/>
    </w:rPr>
  </w:style>
  <w:style w:type="paragraph" w:customStyle="1" w:styleId="enf8">
    <w:name w:val="備考号（en）"/>
    <w:basedOn w:val="jaf8"/>
    <w:rsid w:val="00E600EE"/>
    <w:rPr>
      <w:rFonts w:ascii="Century" w:eastAsia="Century" w:hAnsi="Century" w:cs="Century"/>
    </w:rPr>
  </w:style>
  <w:style w:type="paragraph" w:customStyle="1" w:styleId="jaf9">
    <w:name w:val="号細分（ja）"/>
    <w:basedOn w:val="a"/>
    <w:rsid w:val="00E600EE"/>
    <w:pPr>
      <w:widowControl w:val="0"/>
      <w:ind w:left="659" w:hanging="219"/>
    </w:pPr>
    <w:rPr>
      <w:rFonts w:ascii="ＭＳ 明朝" w:eastAsia="ＭＳ 明朝" w:hAnsi="ＭＳ 明朝" w:cs="ＭＳ 明朝"/>
    </w:rPr>
  </w:style>
  <w:style w:type="paragraph" w:customStyle="1" w:styleId="enf9">
    <w:name w:val="号細分（en）"/>
    <w:basedOn w:val="jaf9"/>
    <w:rsid w:val="00E600EE"/>
    <w:rPr>
      <w:rFonts w:ascii="Century" w:eastAsia="Century" w:hAnsi="Century" w:cs="Century"/>
    </w:rPr>
  </w:style>
  <w:style w:type="paragraph" w:customStyle="1" w:styleId="jafa">
    <w:name w:val="号細分　番号なし（ja）"/>
    <w:basedOn w:val="a"/>
    <w:rsid w:val="00E600EE"/>
    <w:pPr>
      <w:widowControl w:val="0"/>
      <w:ind w:left="439"/>
    </w:pPr>
    <w:rPr>
      <w:rFonts w:ascii="ＭＳ 明朝" w:eastAsia="ＭＳ 明朝" w:hAnsi="ＭＳ 明朝" w:cs="ＭＳ 明朝"/>
    </w:rPr>
  </w:style>
  <w:style w:type="paragraph" w:customStyle="1" w:styleId="enfa">
    <w:name w:val="号細分　番号なし（en）"/>
    <w:basedOn w:val="jafa"/>
    <w:rsid w:val="00E600EE"/>
    <w:rPr>
      <w:rFonts w:ascii="Century" w:eastAsia="Century" w:hAnsi="Century" w:cs="Century"/>
    </w:rPr>
  </w:style>
  <w:style w:type="paragraph" w:customStyle="1" w:styleId="jafb">
    <w:name w:val="備考号細分（ja）"/>
    <w:basedOn w:val="a"/>
    <w:rsid w:val="00E600EE"/>
    <w:pPr>
      <w:widowControl w:val="0"/>
      <w:ind w:left="1099" w:hanging="439"/>
    </w:pPr>
    <w:rPr>
      <w:rFonts w:ascii="ＭＳ 明朝" w:eastAsia="ＭＳ 明朝" w:hAnsi="ＭＳ 明朝" w:cs="ＭＳ 明朝"/>
    </w:rPr>
  </w:style>
  <w:style w:type="paragraph" w:customStyle="1" w:styleId="enfb">
    <w:name w:val="備考号細分（en）"/>
    <w:basedOn w:val="jafb"/>
    <w:rsid w:val="00E600EE"/>
    <w:rPr>
      <w:rFonts w:ascii="Century" w:eastAsia="Century" w:hAnsi="Century" w:cs="Century"/>
    </w:rPr>
  </w:style>
  <w:style w:type="paragraph" w:customStyle="1" w:styleId="jafc">
    <w:name w:val="号細細分（ja）"/>
    <w:basedOn w:val="a"/>
    <w:rsid w:val="00E600EE"/>
    <w:pPr>
      <w:widowControl w:val="0"/>
      <w:ind w:left="1099" w:hanging="439"/>
    </w:pPr>
    <w:rPr>
      <w:rFonts w:ascii="ＭＳ 明朝" w:eastAsia="ＭＳ 明朝" w:hAnsi="ＭＳ 明朝" w:cs="ＭＳ 明朝"/>
    </w:rPr>
  </w:style>
  <w:style w:type="paragraph" w:customStyle="1" w:styleId="enfc">
    <w:name w:val="号細細分（en）"/>
    <w:basedOn w:val="jafc"/>
    <w:rsid w:val="00E600EE"/>
    <w:rPr>
      <w:rFonts w:ascii="Century" w:eastAsia="Century" w:hAnsi="Century" w:cs="Century"/>
    </w:rPr>
  </w:style>
  <w:style w:type="paragraph" w:customStyle="1" w:styleId="jafd">
    <w:name w:val="号細細分　番号なし（ja）"/>
    <w:basedOn w:val="a"/>
    <w:rsid w:val="00E600EE"/>
    <w:pPr>
      <w:widowControl w:val="0"/>
      <w:ind w:left="659"/>
    </w:pPr>
    <w:rPr>
      <w:rFonts w:ascii="ＭＳ 明朝" w:eastAsia="ＭＳ 明朝" w:hAnsi="ＭＳ 明朝" w:cs="ＭＳ 明朝"/>
    </w:rPr>
  </w:style>
  <w:style w:type="paragraph" w:customStyle="1" w:styleId="enfd">
    <w:name w:val="号細細分　番号なし（en）"/>
    <w:basedOn w:val="jafd"/>
    <w:rsid w:val="00E600EE"/>
    <w:rPr>
      <w:rFonts w:ascii="Century" w:eastAsia="Century" w:hAnsi="Century" w:cs="Century"/>
    </w:rPr>
  </w:style>
  <w:style w:type="paragraph" w:customStyle="1" w:styleId="jafe">
    <w:name w:val="備考号細細分（ja）"/>
    <w:basedOn w:val="a"/>
    <w:rsid w:val="00E600EE"/>
    <w:pPr>
      <w:widowControl w:val="0"/>
      <w:ind w:left="1319" w:hanging="439"/>
    </w:pPr>
    <w:rPr>
      <w:rFonts w:ascii="ＭＳ 明朝" w:eastAsia="ＭＳ 明朝" w:hAnsi="ＭＳ 明朝" w:cs="ＭＳ 明朝"/>
    </w:rPr>
  </w:style>
  <w:style w:type="paragraph" w:customStyle="1" w:styleId="enfe">
    <w:name w:val="備考号細細分（en）"/>
    <w:basedOn w:val="jafe"/>
    <w:rsid w:val="00E600EE"/>
    <w:rPr>
      <w:rFonts w:ascii="Century" w:eastAsia="Century" w:hAnsi="Century" w:cs="Century"/>
    </w:rPr>
  </w:style>
  <w:style w:type="paragraph" w:customStyle="1" w:styleId="jaff">
    <w:name w:val="号細細細分（ja）"/>
    <w:basedOn w:val="a"/>
    <w:rsid w:val="00E600EE"/>
    <w:pPr>
      <w:widowControl w:val="0"/>
      <w:ind w:left="1319" w:hanging="439"/>
    </w:pPr>
    <w:rPr>
      <w:rFonts w:ascii="ＭＳ 明朝" w:eastAsia="ＭＳ 明朝" w:hAnsi="ＭＳ 明朝" w:cs="ＭＳ 明朝"/>
    </w:rPr>
  </w:style>
  <w:style w:type="paragraph" w:customStyle="1" w:styleId="enff">
    <w:name w:val="号細細細分（en）"/>
    <w:basedOn w:val="jaff"/>
    <w:rsid w:val="00E600EE"/>
    <w:rPr>
      <w:rFonts w:ascii="Century" w:eastAsia="Century" w:hAnsi="Century" w:cs="Century"/>
    </w:rPr>
  </w:style>
  <w:style w:type="paragraph" w:customStyle="1" w:styleId="jaff0">
    <w:name w:val="号細細細分　番号なし（ja）"/>
    <w:basedOn w:val="a"/>
    <w:rsid w:val="00E600EE"/>
    <w:pPr>
      <w:widowControl w:val="0"/>
      <w:ind w:left="879"/>
    </w:pPr>
    <w:rPr>
      <w:rFonts w:ascii="ＭＳ 明朝" w:eastAsia="ＭＳ 明朝" w:hAnsi="ＭＳ 明朝" w:cs="ＭＳ 明朝"/>
    </w:rPr>
  </w:style>
  <w:style w:type="paragraph" w:customStyle="1" w:styleId="enff0">
    <w:name w:val="号細細細分　番号なし（en）"/>
    <w:basedOn w:val="jaff0"/>
    <w:rsid w:val="00E600EE"/>
    <w:rPr>
      <w:rFonts w:ascii="Century" w:eastAsia="Century" w:hAnsi="Century" w:cs="Century"/>
    </w:rPr>
  </w:style>
  <w:style w:type="paragraph" w:customStyle="1" w:styleId="jaff1">
    <w:name w:val="備考号細細細分（ja）"/>
    <w:basedOn w:val="a"/>
    <w:rsid w:val="00E600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00EE"/>
    <w:rPr>
      <w:rFonts w:ascii="Century" w:eastAsia="Century" w:hAnsi="Century" w:cs="Century"/>
    </w:rPr>
  </w:style>
  <w:style w:type="paragraph" w:customStyle="1" w:styleId="jaff2">
    <w:name w:val="類（ja）"/>
    <w:basedOn w:val="a"/>
    <w:rsid w:val="00E600EE"/>
    <w:pPr>
      <w:widowControl w:val="0"/>
      <w:ind w:left="439" w:hanging="219"/>
    </w:pPr>
    <w:rPr>
      <w:rFonts w:ascii="ＭＳ 明朝" w:eastAsia="ＭＳ 明朝" w:hAnsi="ＭＳ 明朝" w:cs="ＭＳ 明朝"/>
    </w:rPr>
  </w:style>
  <w:style w:type="paragraph" w:customStyle="1" w:styleId="enff2">
    <w:name w:val="類（en）"/>
    <w:basedOn w:val="jaff2"/>
    <w:rsid w:val="00E600EE"/>
    <w:rPr>
      <w:rFonts w:ascii="Century" w:eastAsia="Century" w:hAnsi="Century" w:cs="Century"/>
    </w:rPr>
  </w:style>
  <w:style w:type="paragraph" w:customStyle="1" w:styleId="jaff3">
    <w:name w:val="公布文（ja）"/>
    <w:basedOn w:val="a"/>
    <w:rsid w:val="00E600EE"/>
    <w:pPr>
      <w:widowControl w:val="0"/>
      <w:ind w:firstLine="219"/>
    </w:pPr>
    <w:rPr>
      <w:rFonts w:ascii="ＭＳ 明朝" w:eastAsia="ＭＳ 明朝" w:hAnsi="ＭＳ 明朝" w:cs="ＭＳ 明朝"/>
    </w:rPr>
  </w:style>
  <w:style w:type="paragraph" w:customStyle="1" w:styleId="enff3">
    <w:name w:val="公布文（en）"/>
    <w:basedOn w:val="jaff3"/>
    <w:rsid w:val="00E600EE"/>
    <w:rPr>
      <w:rFonts w:ascii="Century" w:eastAsia="Century" w:hAnsi="Century" w:cs="Century"/>
    </w:rPr>
  </w:style>
  <w:style w:type="paragraph" w:customStyle="1" w:styleId="jaen">
    <w:name w:val="表（ja：en）"/>
    <w:basedOn w:val="a"/>
    <w:rsid w:val="00E600EE"/>
    <w:pPr>
      <w:widowControl w:val="0"/>
      <w:snapToGrid w:val="0"/>
    </w:pPr>
    <w:rPr>
      <w:rFonts w:ascii="Century" w:eastAsia="ＭＳ 明朝" w:hAnsi="Century"/>
    </w:rPr>
  </w:style>
  <w:style w:type="paragraph" w:customStyle="1" w:styleId="jaff4">
    <w:name w:val="備考（ja）"/>
    <w:basedOn w:val="a"/>
    <w:rsid w:val="00E600EE"/>
    <w:pPr>
      <w:widowControl w:val="0"/>
      <w:ind w:left="439" w:hanging="219"/>
    </w:pPr>
    <w:rPr>
      <w:rFonts w:ascii="ＭＳ 明朝" w:eastAsia="ＭＳ 明朝" w:hAnsi="ＭＳ 明朝" w:cs="ＭＳ 明朝"/>
    </w:rPr>
  </w:style>
  <w:style w:type="paragraph" w:customStyle="1" w:styleId="enff4">
    <w:name w:val="備考（en）"/>
    <w:basedOn w:val="jaff4"/>
    <w:rsid w:val="00E600EE"/>
    <w:rPr>
      <w:rFonts w:ascii="Century" w:eastAsia="Century" w:hAnsi="Century" w:cs="Century"/>
    </w:rPr>
  </w:style>
  <w:style w:type="paragraph" w:customStyle="1" w:styleId="jaff5">
    <w:name w:val="表タイトル（ja）"/>
    <w:basedOn w:val="a"/>
    <w:rsid w:val="00E600EE"/>
    <w:pPr>
      <w:widowControl w:val="0"/>
      <w:ind w:left="219"/>
    </w:pPr>
    <w:rPr>
      <w:rFonts w:ascii="ＭＳ 明朝" w:eastAsia="ＭＳ 明朝" w:hAnsi="ＭＳ 明朝" w:cs="ＭＳ 明朝"/>
    </w:rPr>
  </w:style>
  <w:style w:type="paragraph" w:customStyle="1" w:styleId="enff5">
    <w:name w:val="表タイトル（en）"/>
    <w:basedOn w:val="jaff5"/>
    <w:rsid w:val="00E600EE"/>
    <w:rPr>
      <w:rFonts w:ascii="Century" w:eastAsia="Century" w:hAnsi="Century" w:cs="Century"/>
    </w:rPr>
  </w:style>
  <w:style w:type="paragraph" w:customStyle="1" w:styleId="jaff6">
    <w:name w:val="改正規定文（ja）"/>
    <w:basedOn w:val="a"/>
    <w:rsid w:val="00E600EE"/>
    <w:pPr>
      <w:widowControl w:val="0"/>
      <w:ind w:left="219" w:firstLine="219"/>
    </w:pPr>
    <w:rPr>
      <w:rFonts w:ascii="ＭＳ 明朝" w:eastAsia="ＭＳ 明朝" w:hAnsi="ＭＳ 明朝" w:cs="ＭＳ 明朝"/>
    </w:rPr>
  </w:style>
  <w:style w:type="paragraph" w:customStyle="1" w:styleId="enff6">
    <w:name w:val="改正規定文（en）"/>
    <w:basedOn w:val="jaff6"/>
    <w:rsid w:val="00E600EE"/>
    <w:rPr>
      <w:rFonts w:ascii="Century" w:eastAsia="Century" w:hAnsi="Century" w:cs="Century"/>
    </w:rPr>
  </w:style>
  <w:style w:type="paragraph" w:customStyle="1" w:styleId="jaff7">
    <w:name w:val="付記（ja）"/>
    <w:basedOn w:val="a"/>
    <w:rsid w:val="00E600EE"/>
    <w:pPr>
      <w:widowControl w:val="0"/>
      <w:ind w:left="219" w:firstLine="219"/>
    </w:pPr>
    <w:rPr>
      <w:rFonts w:ascii="ＭＳ 明朝" w:eastAsia="ＭＳ 明朝" w:hAnsi="ＭＳ 明朝" w:cs="ＭＳ 明朝"/>
    </w:rPr>
  </w:style>
  <w:style w:type="paragraph" w:customStyle="1" w:styleId="enff7">
    <w:name w:val="付記（en）"/>
    <w:basedOn w:val="jaff7"/>
    <w:rsid w:val="00E600EE"/>
    <w:rPr>
      <w:rFonts w:ascii="Century" w:eastAsia="Century" w:hAnsi="Century" w:cs="Century"/>
    </w:rPr>
  </w:style>
  <w:style w:type="paragraph" w:customStyle="1" w:styleId="jaff8">
    <w:name w:val="様式名（ja）"/>
    <w:basedOn w:val="a"/>
    <w:rsid w:val="00E600EE"/>
    <w:pPr>
      <w:widowControl w:val="0"/>
      <w:ind w:left="439" w:hanging="219"/>
    </w:pPr>
    <w:rPr>
      <w:rFonts w:ascii="ＭＳ 明朝" w:eastAsia="ＭＳ 明朝" w:hAnsi="ＭＳ 明朝" w:cs="ＭＳ 明朝"/>
    </w:rPr>
  </w:style>
  <w:style w:type="paragraph" w:customStyle="1" w:styleId="enff8">
    <w:name w:val="様式名（en）"/>
    <w:basedOn w:val="jaff8"/>
    <w:rsid w:val="00E600EE"/>
    <w:rPr>
      <w:rFonts w:ascii="Century" w:eastAsia="Century" w:hAnsi="Century" w:cs="Century"/>
    </w:rPr>
  </w:style>
  <w:style w:type="paragraph" w:customStyle="1" w:styleId="jaff9">
    <w:name w:val="様式項目（ja）"/>
    <w:basedOn w:val="a"/>
    <w:rsid w:val="00E600EE"/>
    <w:pPr>
      <w:widowControl w:val="0"/>
      <w:ind w:left="221" w:firstLine="221"/>
    </w:pPr>
    <w:rPr>
      <w:rFonts w:ascii="ＭＳ 明朝" w:eastAsia="ＭＳ 明朝" w:hAnsi="ＭＳ 明朝" w:cs="ＭＳ 明朝"/>
    </w:rPr>
  </w:style>
  <w:style w:type="paragraph" w:customStyle="1" w:styleId="enff9">
    <w:name w:val="様式項目（en）"/>
    <w:basedOn w:val="jaff9"/>
    <w:rsid w:val="00E600EE"/>
    <w:rPr>
      <w:rFonts w:ascii="Century" w:eastAsia="Century" w:hAnsi="Century" w:cs="Century"/>
    </w:rPr>
  </w:style>
  <w:style w:type="table" w:customStyle="1" w:styleId="1">
    <w:name w:val="表1"/>
    <w:rsid w:val="00E600EE"/>
    <w:tblPr>
      <w:tblInd w:w="340" w:type="dxa"/>
      <w:tblCellMar>
        <w:top w:w="0" w:type="dxa"/>
        <w:left w:w="0" w:type="dxa"/>
        <w:bottom w:w="0" w:type="dxa"/>
        <w:right w:w="0" w:type="dxa"/>
      </w:tblCellMar>
    </w:tblPr>
  </w:style>
  <w:style w:type="numbering" w:customStyle="1" w:styleId="WW8Num1">
    <w:name w:val="WW8Num1"/>
    <w:rsid w:val="00E600EE"/>
    <w:pPr>
      <w:numPr>
        <w:numId w:val="2"/>
      </w:numPr>
    </w:pPr>
  </w:style>
  <w:style w:type="numbering" w:customStyle="1" w:styleId="WW8Num2">
    <w:name w:val="WW8Num2"/>
    <w:rsid w:val="00E600EE"/>
    <w:pPr>
      <w:numPr>
        <w:numId w:val="3"/>
      </w:numPr>
    </w:pPr>
  </w:style>
  <w:style w:type="numbering" w:customStyle="1" w:styleId="WW8Num3">
    <w:name w:val="WW8Num3"/>
    <w:rsid w:val="00E600EE"/>
    <w:pPr>
      <w:numPr>
        <w:numId w:val="4"/>
      </w:numPr>
    </w:pPr>
  </w:style>
  <w:style w:type="numbering" w:customStyle="1" w:styleId="WW8Num4">
    <w:name w:val="WW8Num4"/>
    <w:rsid w:val="00E600EE"/>
    <w:pPr>
      <w:numPr>
        <w:numId w:val="5"/>
      </w:numPr>
    </w:pPr>
  </w:style>
  <w:style w:type="numbering" w:customStyle="1" w:styleId="WW8Num5">
    <w:name w:val="WW8Num5"/>
    <w:rsid w:val="00E600EE"/>
    <w:pPr>
      <w:numPr>
        <w:numId w:val="6"/>
      </w:numPr>
    </w:pPr>
  </w:style>
  <w:style w:type="numbering" w:customStyle="1" w:styleId="WW8Num6">
    <w:name w:val="WW8Num6"/>
    <w:rsid w:val="00E600EE"/>
    <w:pPr>
      <w:numPr>
        <w:numId w:val="7"/>
      </w:numPr>
    </w:pPr>
  </w:style>
  <w:style w:type="numbering" w:customStyle="1" w:styleId="WW8Num7">
    <w:name w:val="WW8Num7"/>
    <w:rsid w:val="00E600EE"/>
    <w:pPr>
      <w:numPr>
        <w:numId w:val="8"/>
      </w:numPr>
    </w:pPr>
  </w:style>
  <w:style w:type="numbering" w:customStyle="1" w:styleId="WW8Num8">
    <w:name w:val="WW8Num8"/>
    <w:rsid w:val="00E600EE"/>
    <w:pPr>
      <w:numPr>
        <w:numId w:val="9"/>
      </w:numPr>
    </w:pPr>
  </w:style>
  <w:style w:type="numbering" w:customStyle="1" w:styleId="WW8Num9">
    <w:name w:val="WW8Num9"/>
    <w:rsid w:val="00E600EE"/>
    <w:pPr>
      <w:numPr>
        <w:numId w:val="10"/>
      </w:numPr>
    </w:pPr>
  </w:style>
  <w:style w:type="numbering" w:customStyle="1" w:styleId="WW8Num10">
    <w:name w:val="WW8Num10"/>
    <w:rsid w:val="00E600EE"/>
    <w:pPr>
      <w:numPr>
        <w:numId w:val="11"/>
      </w:numPr>
    </w:pPr>
  </w:style>
  <w:style w:type="numbering" w:customStyle="1" w:styleId="WW8Num11">
    <w:name w:val="WW8Num11"/>
    <w:rsid w:val="00E600EE"/>
    <w:pPr>
      <w:numPr>
        <w:numId w:val="12"/>
      </w:numPr>
    </w:pPr>
  </w:style>
  <w:style w:type="numbering" w:customStyle="1" w:styleId="WW8Num12">
    <w:name w:val="WW8Num12"/>
    <w:rsid w:val="00E600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19279</Words>
  <Characters>109894</Characters>
  <Application>Microsoft Office Word</Application>
  <DocSecurity>0</DocSecurity>
  <Lines>915</Lines>
  <Paragraphs>257</Paragraphs>
  <ScaleCrop>false</ScaleCrop>
  <Company/>
  <LinksUpToDate>false</LinksUpToDate>
  <CharactersWithSpaces>128916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2025-05-29T05:36:00Z</dcterms:created>
  <dcterms:modified xsi:type="dcterms:W3CDTF">2025-05-29T05:36:00Z</dcterms:modified>
</cp:coreProperties>
</file>