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4B12" w:rsidRDefault="00E7777E">
      <w:pPr>
        <w:pStyle w:val="en"/>
      </w:pPr>
      <w:r>
        <w:t>Order for Enforcement of the Act on the Advancement of Government Administration Processes That Utilize Information and Communications Technology</w:t>
      </w:r>
    </w:p>
    <w:p w:rsidR="005D4B12" w:rsidRDefault="005D4B12"/>
    <w:p w:rsidR="005D4B12" w:rsidRDefault="00E7777E">
      <w:pPr>
        <w:pStyle w:val="enf"/>
      </w:pPr>
      <w:r>
        <w:t>(Cabinet Order No. 27 of January 31, 2003)</w:t>
      </w:r>
    </w:p>
    <w:p w:rsidR="005D4B12" w:rsidRDefault="005D4B12"/>
    <w:p w:rsidR="005D4B12" w:rsidRDefault="00E7777E">
      <w:pPr>
        <w:pStyle w:val="ene"/>
      </w:pPr>
      <w:r>
        <w:t xml:space="preserve">The Cabinet hereby enacts this Cabinet Order as </w:t>
      </w:r>
      <w:r>
        <w:t>prescribed in the provisions of Article 2, item (ii), (e) and item (vi) of the Act on the Use of Information and Communications Technology in Administrative Procedures (Act No. 151 of 2002).</w:t>
      </w:r>
    </w:p>
    <w:p w:rsidR="005D4B12" w:rsidRDefault="005D4B12"/>
    <w:p w:rsidR="005D4B12" w:rsidRDefault="00E7777E">
      <w:pPr>
        <w:pStyle w:val="ena"/>
      </w:pPr>
      <w:r>
        <w:t>(Corporations Specified by Cabinet Order Referred to in Article 3, Item (ii), (f) of the Act)</w:t>
      </w:r>
    </w:p>
    <w:p w:rsidR="005D4B12" w:rsidRDefault="00E7777E">
      <w:pPr>
        <w:pStyle w:val="enf3"/>
      </w:pPr>
      <w:r>
        <w:t>Article 1  The corporations specified by Cabinet Order as referred to in Article 3, item (ii), (f) of the Act on the Advancement of Government Administration Processes That Utilize Information and Communications Technology (Act No. 151 of 2002; referred to below as the "Act") means the following: the Okinawa Institute of Science and Technology Graduate University; the Okinawa Development Finance Corporation; the Organization for Technical Intern Training; a money lenders association; the Japan Bank for Inte</w:t>
      </w:r>
      <w:r>
        <w:t>rnational Cooperation; the Japan Finance Corporation; the Nippon Export and Investment Insurance; the Pension Fund Association; the Hazardous Materials Safety Techniques Association; a certified administrative procedures legal specialist association; the Banks' Shareholdings Purchase Corporation; the Japan Financial Literacy and Education Corporation; Japan Police Personnel Mutual Aid Association; the Light Motor Vehicle Inspection Organization; the Nuclear Damage Compensation and Decommissioning Facilitati</w:t>
      </w:r>
      <w:r>
        <w:t>on Corporation; the High Pressure Gas Safety Institute of Japan; an organization for cross-regional coordination of transmission operators; a port authority; the Japan Mutual Aid Association of Public School Teachers; a craft inspection organization; the National Pension Fund Association; a national university corporation; a national public service personnel mutual aid association; the Federation of National Public Service Personnel Mutual Aid Associations; a municipal personnel mutual aid association; a mu</w:t>
      </w:r>
      <w:r>
        <w:t xml:space="preserve">tual aid association for personnel of a designated city; the Japan Safety Driving Center; a judicial scrivener association; the Health Insurance Claims Review &amp; Reimbursement Services; a labor and social security attorney's association; the Metropolitan Expressway Company Limited; a commodity futures association; the Mutual Aid Fund for Official Casualties and Retirement of Volunteer Firefighters; the New Kansai International Airport Company Limited; a flood prevention </w:t>
      </w:r>
      <w:r>
        <w:lastRenderedPageBreak/>
        <w:t>association; a federation of flood pre</w:t>
      </w:r>
      <w:r>
        <w:t>vention associations; a certified public tax accountants association; the Coal Mining Pension Fund; the Japan Health Insurance Association; the National Federation of Mutual Aid Associations for Municipal Personnel; the Japan Federation of Labor and Social Security Attorney's Associations; an inter-university research institute corporation; the GX Acceleration Agency; the National Association of Racing; the Japan Finance Organization for Municipalities; the Japan Agency for Local Authority Information Syste</w:t>
      </w:r>
      <w:r>
        <w:t>ms; the Pension Fund Association for Local Government Officials; the Fund for Local Government Employees' Accident Compensation; a regional housing corporation; the Mutual Aid Association of Prefectural Government Personnel; the Local Tax Agency; a regional public road corporation; a mutual aid association for city personnel; a mutual aid association for metropolitan personnel; a land and house investigators association; the Central Nippon Expressway Company Limited; the West Nippon Expressway Company Limit</w:t>
      </w:r>
      <w:r>
        <w:t>ed; the Certified Administrative Procedures Legal Specialists Association; the Bank of Japan; the Japan Workers' Housing Association; the Japan Sewage Works Agency; the Japanese Institute of Certified Public Accountants; the Japan Legal Support Center; the Japan Federation of Shiho-Shoshi's Associations; the Japan Fire Equipment Inspection Institute; the Promotion and Mutual Aid Corporation for Private Schools of Japan; the Japan Federation of Certified Public Tax Accountants' Associations; the Japan Tobacc</w:t>
      </w:r>
      <w:r>
        <w:t>o; the Japan Tobacco Industry Mutual Aid Association; the Japan Racing Association; the Japan Railways Group Mutual Aid Association; the Japan Electric Meters Inspection Corporation; the Japan Federation of Land and House Investors' Associations; the Japan Pension Service; the Japan Patent Attorneys Association; the Japan Broadcasting Corporation; a certified financial instruments business association; the Agricultural and Fishery Co-operative Savings Insurance Corporation; the Mutual Aid Association for Ag</w:t>
      </w:r>
      <w:r>
        <w:t>riculture, Forestry, and Fishery Organization Personnel, the Hanshin Expressway Company Limited; the East Nippon Expressway Company Limited; the Fukushima Institute for Research, Education and Innovation; the Open University of Japan; the Honshu-Shikoku Bridge Expressway Company Limited; and the Deposit Insurance Corporation of Japan.</w:t>
      </w:r>
    </w:p>
    <w:p w:rsidR="005D4B12" w:rsidRDefault="005D4B12"/>
    <w:p w:rsidR="005D4B12" w:rsidRDefault="00E7777E">
      <w:pPr>
        <w:pStyle w:val="ena"/>
      </w:pPr>
      <w:r>
        <w:t>(Persons Specified by Cabinet Order Referred to in Article 3, Item (iii), (b) of the Act)</w:t>
      </w:r>
    </w:p>
    <w:p w:rsidR="005D4B12" w:rsidRDefault="00E7777E">
      <w:pPr>
        <w:pStyle w:val="enf3"/>
      </w:pPr>
      <w:r>
        <w:t>Article 2  The person specified by Cabinet Order referred to in Article 3, item (iii), (b) of the Act is the Japan Pension Service.</w:t>
      </w:r>
    </w:p>
    <w:p w:rsidR="005D4B12" w:rsidRDefault="005D4B12"/>
    <w:p w:rsidR="005D4B12" w:rsidRDefault="00E7777E">
      <w:pPr>
        <w:pStyle w:val="ena"/>
      </w:pPr>
      <w:r>
        <w:t xml:space="preserve">(Criminal Cases Specified by Cabinet Order Referred to in Article 3, Item (viii) </w:t>
      </w:r>
      <w:r>
        <w:lastRenderedPageBreak/>
        <w:t>of the Act)</w:t>
      </w:r>
    </w:p>
    <w:p w:rsidR="005D4B12" w:rsidRDefault="00E7777E">
      <w:pPr>
        <w:pStyle w:val="enf3"/>
      </w:pPr>
      <w:r>
        <w:t>Article 3  The criminal cases specified by Cabinet Order as referred to in Article 3, item (viii) of the Act are as follows:</w:t>
      </w:r>
    </w:p>
    <w:p w:rsidR="005D4B12" w:rsidRDefault="00E7777E">
      <w:pPr>
        <w:pStyle w:val="enf6"/>
      </w:pPr>
      <w:r>
        <w:t>(i) a criminal case involving national or local taxes;</w:t>
      </w:r>
    </w:p>
    <w:p w:rsidR="005D4B12" w:rsidRDefault="00E7777E">
      <w:pPr>
        <w:pStyle w:val="enf6"/>
      </w:pPr>
      <w:r>
        <w:t>(ii) a criminal case involving a financial instruments transaction;</w:t>
      </w:r>
    </w:p>
    <w:p w:rsidR="005D4B12" w:rsidRDefault="00E7777E">
      <w:pPr>
        <w:pStyle w:val="enf6"/>
      </w:pPr>
      <w:r>
        <w:t>(iii) a criminal case based on the Act on Prohibition of Private Monopolization and Maintenance of Fair Trade (Act No. 54 of 1947).</w:t>
      </w:r>
    </w:p>
    <w:p w:rsidR="005D4B12" w:rsidRDefault="005D4B12"/>
    <w:p w:rsidR="005D4B12" w:rsidRDefault="00E7777E">
      <w:pPr>
        <w:pStyle w:val="ena"/>
      </w:pPr>
      <w:r>
        <w:t>(Procedures Specified by Cabinet Order Referred to in Article 10, Item (I) of the Act)</w:t>
      </w:r>
    </w:p>
    <w:p w:rsidR="005D4B12" w:rsidRDefault="00E7777E">
      <w:pPr>
        <w:pStyle w:val="enf3"/>
      </w:pPr>
      <w:r>
        <w:t>Article 4  The procedures, etc. specified by Cabinet Order referred to in Article 10, item (i) of the Act are the procedures, etc. based on the provisions stated in the middle column of the Appended Table of the laws and regulations stated in the left-hand column of the same Table, which fall under the procedures, etc. stated in the right-hand column of that Table, respectively.</w:t>
      </w:r>
    </w:p>
    <w:p w:rsidR="005D4B12" w:rsidRDefault="005D4B12"/>
    <w:p w:rsidR="005D4B12" w:rsidRDefault="00E7777E">
      <w:pPr>
        <w:pStyle w:val="ena"/>
      </w:pPr>
      <w:r>
        <w:t>(Documents and Measures Specified by Cabinet Order Referred to in Article 11 of the Act)</w:t>
      </w:r>
    </w:p>
    <w:p w:rsidR="005D4B12" w:rsidRDefault="00E7777E">
      <w:pPr>
        <w:pStyle w:val="enf3"/>
      </w:pPr>
      <w:r>
        <w:t>Article 5  The documents, etc. specified by Cabinet Order that are referred to in Article 11 of the Act, are as stated in the left-hand column of the following Table, and the measures specified by Cabinet Order referred to in that Article are as stated in the right-hand column of that Table for each of the documents, etc. stated in the left-hand column of that Table, respectively.</w:t>
      </w:r>
    </w:p>
    <w:p w:rsidR="005D4B12" w:rsidRDefault="005D4B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5011"/>
      </w:tblGrid>
      <w:tr w:rsidR="005D4B12">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Documents, etc.</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Measures</w:t>
            </w:r>
          </w:p>
        </w:tc>
      </w:tr>
      <w:tr w:rsidR="005D4B12">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(i) a </w:t>
            </w:r>
            <w:r>
              <w:t>copy of the resident record or certificate of items stated in resident register prescribed in Article 12, paragraph (1) of the Residential Basic Book Act (Act No. 81 of 1967);</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Any of the following measures</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 the provision to an administrative entity, etc. of an electronic signature certificate prescribed in Article 3, paragraph (1) of the Act on the Authentication Services of the Japan Agency for Local Authority Information Systems in Connection with Electronic Signatures and Electronic User Certificates (Act No. 153 of 2002) and information on which an electronic signature prescribed in Article 2, paragraph (1) of that Act has been performed that is confirmed by the electronic signature certificate, by a m</w:t>
            </w:r>
            <w:r>
              <w:t>ethod of using an electronic data processing system;</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(b) provision to an administrative entity, etc. of a person's name, date of birth, gender, and address by means of an electronic data processing system or by any other methods ;</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(c) presenting the Individual Number Card to an </w:t>
            </w:r>
            <w:r>
              <w:t>administrative organ, etc.</w:t>
            </w:r>
          </w:p>
        </w:tc>
      </w:tr>
      <w:tr w:rsidR="005D4B12">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(ii) a certified copy of a family register transcript, extract or certificate as prescribed in Article 10, paragraph (1) of the Family Register Act (Act No. 224 of 1947), a transcript, extract, or certificate of a removed family register as prescribed in Article 12-2 of that Act, or a copy of family register certificate or a removed family register certificate as prescribed in Article 120, paragraph (1) of that Act;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Provision to an administrative entity, etc. of an identification code for provision of the family register electronic certificate or an identification code for provision of electronic certificate of a removed family register as prescribed in Article 120-3, paragraph (2) of the Family Register Act, by a method using an electronic data processing system or any other method</w:t>
            </w:r>
          </w:p>
        </w:tc>
      </w:tr>
      <w:tr w:rsidR="005D4B12">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(iii) a certificate of registered matters as prescribed in Article 119, paragraph (1) of the Real Property Registration Act (Act No. 123 of 2004);</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Any of the following measures</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 </w:t>
            </w:r>
            <w:r>
              <w:t>provision to an administrative entity, etc. of any of the following matters, by a method using an electronic data processing system or any other method:</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1. for land, the city ("shi"), ward ("ku"), county ("gun"), town ("machi"), village ("mura"), and "aza" where the land is located, and the parcel number of the land;</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2. in the case of a building, the city ("shi"), ward ("ku"), county ("gun"), town ("machi"), village ("mura"), and "aza" where the building is located, the parcel number of the land where the building is located, and the building number of the building;</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3. matters for real property identification as prescribed in Article 6, paragraph (1) of the Real Property Registration Order (Cabinet Order No. 379 of 2004);</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(b) the </w:t>
            </w:r>
            <w:r>
              <w:t>provision to an administrative entity, etc., by means of using an electronic data processing system or by any other means, of codes or other information acquired from a designated corporation as prescribed in Article 3, paragraph (2) of the Act on the Provision of Registration Information by Telecommunications Line (Act No. 226 of 1999) as those necessary for having the designated corporation transmit the registration information prescribed in Article 2, paragraph (1) of that Act to the administrative entit</w:t>
            </w:r>
            <w:r>
              <w:t>y, etc.;</w:t>
            </w:r>
          </w:p>
        </w:tc>
      </w:tr>
      <w:tr w:rsidR="005D4B12">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(iv) a certificate of registered information as prescribed in Article 10, paragraph (1) of the Commercial Registration Act (Act No. 125 of 1963) (including as applied mutatis mutandis pursuant to other laws and orders);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Any of the following measures</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 provision to an administrative entity, etc. of any of the following matters by a method using an electronic data processing system or any other method:</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1. its trade name or name, and the location of its head office or principal office;</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2. the corporation number as prescribed in Article 2, paragraph (15) of the Act on the Use of Numbers to Identify a Specific Individual in Administrative Procedures (Act No. 27 of 2013);</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3. the corporate identification number as prescribed in Article 7 of the Commercial Registration Act (including as applied mutatis mutandis pursuant to other laws and regulations);</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(b) the measures stated in the right-hand column in (b) of the previous item;</w:t>
            </w:r>
          </w:p>
        </w:tc>
      </w:tr>
      <w:tr w:rsidR="005D4B12">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(c) certification under the provisions of Article </w:t>
            </w:r>
            <w:r>
              <w:t>12-2, paragraphs (1) and (3) of the Commercial Registration Act (including the cases in which these provisions are applied mutatis mutandis pursuant to other laws and regulations) and provision to an administrative entity, etc. of information for which an electronic signature prescribed in Article 2, paragraph (1) of the Act on Electronic Signatures and Certification Business (Act No. 102 of 2000) that is confirmed by the certification has been performed by a method using an electronic data processing syste</w:t>
            </w:r>
            <w:r>
              <w:t>m;</w:t>
            </w:r>
          </w:p>
        </w:tc>
      </w:tr>
      <w:tr w:rsidR="005D4B12">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(v) a certificate of their seal registration as referred to in Article 12, paragraph (1) of the Commercial Registration Act (including as applied mutatis mutandis pursuant to other laws and regulations);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Measures stated in the right column (c) of the preceding item;</w:t>
            </w:r>
          </w:p>
        </w:tc>
      </w:tr>
      <w:tr w:rsidR="005D4B12">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(vi) a certificate concerning a seal prepared by the mayor of a municipality (including the mayor of a special ward, and in the case of a designated city in the Article 252-19, paragraph (1) of the Local Autonomy Act (Act No. 67 of </w:t>
            </w:r>
            <w:r>
              <w:t>1947), the mayor of a city, ward, or administratively consolidated ward);</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Measures stated in the right column of item (i) (a)</w:t>
            </w:r>
          </w:p>
        </w:tc>
      </w:tr>
    </w:tbl>
    <w:p w:rsidR="005D4B12" w:rsidRDefault="005D4B12"/>
    <w:p w:rsidR="005D4B12" w:rsidRDefault="00E7777E">
      <w:pPr>
        <w:pStyle w:val="en2"/>
      </w:pPr>
      <w:r>
        <w:t>Supplementary Provisions</w:t>
      </w:r>
    </w:p>
    <w:p w:rsidR="005D4B12" w:rsidRDefault="005D4B12"/>
    <w:p w:rsidR="005D4B12" w:rsidRDefault="00E7777E">
      <w:pPr>
        <w:pStyle w:val="enf5"/>
      </w:pPr>
      <w:r>
        <w:t>This Cabinet Order comes into effect on the date for which the Act comes into effect (February 3, 2003); provided, however, that the part of Article 1 concerning Japan Post comes into effect on April 1, 2003.</w:t>
      </w:r>
    </w:p>
    <w:p w:rsidR="005D4B12" w:rsidRDefault="005D4B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6142"/>
        <w:gridCol w:w="1392"/>
      </w:tblGrid>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Employment Security Act (Act No. 141 of 1947)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32-4, paragraphs (1) and (3), and Article 32-7, paragraph (3) (including as applied mutatis mutandis to Article 33, paragraph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Control and Improvement of Amusement Business (Act No. 122 of 1948)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5, paragraphs (2) and (4) and Article 10-2, paragraphs (3) and (5) (including as applied mutatis mutandis to Article 31-23), Article 27, paragraph (4) (including as applied mutatis mutandis to Article 31-12, paragraph (2)), and Article 31-2, paragraph (4) (including as applied mutatis mutandis to Article 31-7, paragraph (2) and Article 31-17, paragraph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Secondhand Goods Business Act (Act No. 108 of 1949)</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5, paragraphs (2) and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Public Offices Election Act (Act No. 100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86, paragraphs (1) through (3), paragraph (8), </w:t>
            </w:r>
            <w:r>
              <w:t>paragraph (9), paragraph (11), and paragraph (12), Article 86-2, paragraph (1), and paragraphs (7), (9), and (10) of that Article (including as applied mutatis mutandis pursuant to Article 86-3, paragraph (2)), Article 86-3, paragraph (1), Article 86-4, paragraphs (1), (2), (5), (6), (8), and (10), Article 86-5, paragraphs (1) and (4), Article 86-6, paragraphs (1), (2), (5), and (9), Article 86-7, paragraphs (1) and (5), Article 98, paragraphs (2) and (3) (including as applied mutatis mutandis to Article 11</w:t>
            </w:r>
            <w:r>
              <w:t>2, paragraph (7)), Article 99-2, paragraphs (2) and (4) (including as applied mutatis mutandis to paragraph (5) of that Article (including as applied mutatis mutandis to paragraph (6) of that Article) and paragraph (6) of that Article), and Article 168, paragraphs (1) through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Act on Mental Health and Welfare for Persons with Mental Disorders or Disabilities(Act No. 123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21, paragraphs(1)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21, paragraphs (1) and (7), Article 29, </w:t>
            </w:r>
            <w:r>
              <w:t>paragraph (3) (including as applied mutatis mutandis to Article 29-2, paragraph (4) and Article 33-8), Article 29-2-2, paragraph (2) (including as applied mutatis mutandis to Article 34, paragraph (4)), and Article 33-3,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Explosives Control Act (Act No. 149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19, paragraph (1), Article 17, paragraph (8) as applied mutatis mutandis to Article 19, paragraph (4), and Article 17, paragraphs (4) and (8) whose terms and phrases are deemed to have been replaced pursuant to the provisions of Article 50-2,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Passport Act (Act No. 267 of 1951)</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8, paragraphs (1) and (4) (including as applied mutatis mutandis to Article 9, paragraph (3) and Article 10, paragraph (4)) and Article 19-3,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Immigration Control and Refugee Recognition Act (Cabinet Order No. 319 of 1951)</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11, paragraph (1), Article 48, paragraph (1), Article 49, paragraph (1), Article 55-68, paragraph (1), Article 55-73, paragraph (1), Article 55-74, paragraph (1), Article 55-76, paragraph (1), Article 55-77, paragraph (1), Article 55-78, paragraph (1), and Article 55-79,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The provisions of Article 13, paragraph (2), Article </w:t>
            </w:r>
            <w:r>
              <w:t>14-2, paragraph (4), Article 16, paragraph (4), Article 17, paragraph (3), Article 18, paragraph (4), Article 18-2, paragraph (3), Article 19-6, Article 19-10, paragraph (2) (including as applied mutatis mutandis pursuant to Article 19-11, paragraph (3), Article 19-12, paragraph (2), and Article 19-13, paragraph (4)), Article 20, paragraph (4) (including as applied mutatis mutandis to Article 21, paragraph (4), Article 22-2, paragraph (3) (including as applied mutatis mutandis t to Article 22-3), and Articl</w:t>
            </w:r>
            <w:r>
              <w:t>e 61-2-5, paragraph (3)), Article 22, paragraph (3) (including as applied mutatis mutandis to Article 22-2, paragraph (4) (including as applied mutatis mutandis to Article 22-3)), Article 26, paragraph (2), Article 44-2, paragraph (7) (excluding the part related to the delivery of a transcript of a written notice of decision on supervising measures), and Article 52, paragraph (11), the provisions of the second sentence of Article 47, paragraph (5) (including as applied mutatis mutandis to Article 48, paragr</w:t>
            </w:r>
            <w:r>
              <w:t>aph (10) and Article 49, paragraph (7)), Article 48, paragraph (9), Article 49, paragraph (6), Article 50, paragraphs (7) and (10), Article 52-2, paragraph (6) (excluding the part related to the delivery of a transcript of a written notice of decision on supervising measures), and Article 54, paragraph (3) (including as applied mutatis mutandis to Article 63, paragraph (1)), the provisions of Article 55-18, paragraph (1), the provisions of Article 45, paragraphs (1) and (2), the main clause of Article 46, p</w:t>
            </w:r>
            <w:r>
              <w:t>aragraph (1), and Article 47 (excluding the proviso and item (ii)) of the Administrative Appeal Act (Act No. 68 of 2014) as applied mutatis mutandis to Article 55-72, paragraph (2), the main clause of Article 46, paragraph (1), the provisions of Article 47 (excluding the proviso and item (ii)), and Article 64, paragraphs (1) through (3) of the same Act as applied mutatis mutandis pursuant to Article 55-73, paragraph (3), and the provisions of Article 55-75, paragraphs (1) and (2) (including as applied mutat</w:t>
            </w:r>
            <w:r>
              <w:t>is mutandis pursuant to Article 55-76, paragraph (3)), Article 55-85, paragraph (2), Article 61-2-2, paragraph (2), Article 61-2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Real Estate Brokerage Act (Act No. 176 of 1952)</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22-2,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the Regulation of Nuclear Source Material, Nuclear Fuel Material and Reactors (Act No. 166 of 1957)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59, paragraphs (5) and (10)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Act for Controlling the Possession of Firearms or Swords and Other Such </w:t>
            </w:r>
            <w:r>
              <w:t>Weapons (Act No. 6 of 1958)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7, paragraphs (1) and (2) (including as applied mutatis mutandis to Article 9-13, paragraph (3)), Article 9-5, paragraph (2), Article 5-3, paragraph (3) as applied mutatis mutandis to Article 9-5, paragraph (4), Article 9-10, paragraph (2), Article 5-3, paragraph (3) as applied mutatis mutandis to Article 9-10, paragraph (3), Article 9-13, paragraph (2), Article 9-16, paragraph (1), Article 5-3, paragraph (3) as applied mutatis mutandis to Article 9-16, paragraph (2), and Article 15, paragraphs (1) </w:t>
            </w:r>
            <w:r>
              <w:t>and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Road Traffic Act (Act No. 105 of 1960)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8, paragraph (3), Article 58, paragraph (1), Article 58-3, paragraph (2), Article 59, paragraph (3), Article 75, paragraph (9) </w:t>
            </w:r>
            <w:r>
              <w:t>(including as applied mutatis mutandis to Article 75-2, paragraph (3)), Article 92, paragraphs (1) and (2), Article 94, paragraph (2), Article 101, paragraph (6), Article 101-2, paragraph (4), Article 107, paragraph (2), and Article 107-7,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Securing Quality, Efficacy and Safety of Products Including Pharmaceuticals and Medical Devices (Act No. 145 of 1960)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33,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Assurance of Car Parking Spaces and Other Matters (Act No. 145 of 1962)</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6, paragraphs (1) and (3) (including as applied mutatis mutandis to Article 7, paragraph (2) (including as applied mutatis mutandis to Article 13, paragraph (4)) and Article 13, paragraph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Residential Basic Book Act (Act No. 81 of 1967)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30-3, paragraph (3), Article 30-4, paragraph (4), Article 30-32, paragraph (2), and Article 30-35</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Industrial Safety and Health Act (Act No. 57 of 1972)</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72, </w:t>
            </w:r>
            <w:r>
              <w:t>paragraph (1) (but only if a license is issued for a license as referred to in Article 61,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for Improvement of Employment of Construction Workers (Act No. 33 of 1976)</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21, paragraphs (1) and (3) and Article 34, paragraphs (1) and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Ensuring the Proper Operation of Worker Dispatching Services and Protecting Dispatched Workers (Act No. 88 of 1985)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8, paragraphs (1) and (3), and Article 11,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Special Provisions for the Medical Practitioners' Act, Article 17, on the Advanced Clinical Training of Foreign Medical Practitioners (Act No. 29 of 1987)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4, paragraph (1) (including as applied mutatis mutandis to Article 21-7,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Port Labor Act (Act No. 40 of 1988)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15, paragraphs (1) and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5D4B12">
            <w:pPr>
              <w:pStyle w:val="jaen"/>
            </w:pP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7, paragraphs (2) and (3), and Article 11, paragraph (2) (including as applied mutatis mutandis to </w:t>
            </w:r>
            <w:r>
              <w:t>Article 12, paragraph (3), Article 13, paragraph (2), and Article 14, paragraph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Prohibition of Chemical Weapons and Control of Specific Chemicals (Act No. 65 of 1995)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17,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the Prevention of Infectious Diseases and Medical Care for Patients with Infectious Diseases (Act No. 114 1998)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56-27,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Act on Penal Detention Facilities and the Treatment of Inmates and Detainees (Act No. 50 of 2005)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157, paragraph (1), Article 162, paragraph (1), Article 163, paragraph (1), Article 165, paragraph (1), Article 166, paragraph (1), Article 167, paragraph (1) and Article 168,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33, </w:t>
            </w:r>
            <w:r>
              <w:t>paragraph (1), Article 155, paragraph (1), Article 45, paragraphs (1) and (2), the main clause of Article 46, paragraph (1), and Article 47 (excluding the proviso and item (ii)) of the Administrative Complaint Review Act as applied mutatis mutandis to Article 161, paragraph (2), and the main clause of Article 46, paragraph (1), Article 47 (excluding the proviso and item (ii)), and Article 64, paragraphs (1) through (3), and Article 164, paragraphs (1) and (2) of that Act as applied mutatis mutandis to Artic</w:t>
            </w:r>
            <w:r>
              <w:t>le 162, paragraph (3) (including as applied mutatis mutandis to Article 165,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Offender Rehabilitation Act</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93,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Act on the Use of Numbers to Identify a Specific </w:t>
            </w:r>
            <w:r>
              <w:t>Individual in Administrative Procedures</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7, paragraphs (1) and (2), and Article 3, paragraphs (2) and (3) of the Supplementary Provisions</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Juvenile Training School Act (Act No. 58 of 2014)</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120, Article 129, paragraph (1) and Article 130,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20, paragraph (1) and Article 118,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4B12" w:rsidRDefault="00E7777E">
            <w:pPr>
              <w:pStyle w:val="jaen"/>
            </w:pPr>
            <w:r>
              <w:t>Juvenile Classification Home Act (Act No. 59 of 2014)</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Article 109, Article 118, paragraph (1) and Article </w:t>
            </w:r>
            <w:r>
              <w:t>119,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Proper Technical Intern Training and Protection of Technical Intern Trainees (Act No. 89 of 2016)</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29, paragraphs (1) and (3) (including as applied mutatis mutandis to Article 31, paragraph (5) and Article 32, paragraph (2)) and Article 32, paragraph (5)</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the Protection of Children Concerning Adoption Mediation by Private Mediation Agencies (Act No.110 of 2016)</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10, paragraphs (1) and (3), and Article 13, paragraph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Act on Development of Specified Integrated Resort Districts (Act No. 80 of 2018)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74, paragraph (8)</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Order for Enforcement of the Act on National Review for Supreme Court Judges (Cabinet Order No.122 of 1948)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24,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Order for Enforcement of Public Offices Election Act (Cabinet Order No.89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88, paragraph (11), Article 88-3, paragraph (9), Article 88-5, paragraph (8), and Article 89, paragraph (6)</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Applications,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Order for Enforcement of the Act on Mental Health and Welfare for Persons with Mental Disorders or Disabilities (Cabinet Order No.155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2-2 And Article 2-2-3, paragraphs (1) and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Order for Enforcement of the Act for Basic Register of Residents (Cabinet Order No. 292 of 1967)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30-2, paragraph (2) and Article 30-4, paragraph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 xml:space="preserve">Order for </w:t>
            </w:r>
            <w:r>
              <w:t>Enforcement of the Act on Prohibition of Chemical Weapons and Control of Specific Chemicals (Cabinet Order No. 192 of 1995)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r w:rsidR="005D4B12">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Order for Enforcement of the Act on the Prevention of Infectious Diseases and Medical Care for Patients with Infectious Diseases (Cabinet Order No.420 of 1998)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Article 22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4B12" w:rsidRDefault="00E7777E">
            <w:pPr>
              <w:pStyle w:val="jaen"/>
            </w:pPr>
            <w:r>
              <w:t>Disposition notices, etc.</w:t>
            </w:r>
          </w:p>
        </w:tc>
      </w:tr>
    </w:tbl>
    <w:p w:rsidR="00E7777E" w:rsidRDefault="00E7777E"/>
    <w:sectPr w:rsidR="00000000" w:rsidSect="005D4B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4B12" w:rsidRDefault="005D4B12" w:rsidP="005D4B12">
      <w:r>
        <w:separator/>
      </w:r>
    </w:p>
  </w:endnote>
  <w:endnote w:type="continuationSeparator" w:id="0">
    <w:p w:rsidR="005D4B12" w:rsidRDefault="005D4B12" w:rsidP="005D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B12" w:rsidRDefault="005D4B12">
    <w:pPr>
      <w:pStyle w:val="a3"/>
    </w:pPr>
    <w:r>
      <w:fldChar w:fldCharType="begin"/>
    </w:r>
    <w:r>
      <w:instrText xml:space="preserve"> PAGE  \* MERGEFORMAT </w:instrText>
    </w:r>
    <w:r>
      <w:fldChar w:fldCharType="separate"/>
    </w:r>
    <w:r w:rsidR="00E777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4B12" w:rsidRDefault="005D4B12" w:rsidP="005D4B12">
      <w:r>
        <w:separator/>
      </w:r>
    </w:p>
  </w:footnote>
  <w:footnote w:type="continuationSeparator" w:id="0">
    <w:p w:rsidR="005D4B12" w:rsidRDefault="005D4B12" w:rsidP="005D4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15A"/>
    <w:multiLevelType w:val="multilevel"/>
    <w:tmpl w:val="62723A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A7114"/>
    <w:multiLevelType w:val="multilevel"/>
    <w:tmpl w:val="C23E6A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93250"/>
    <w:multiLevelType w:val="multilevel"/>
    <w:tmpl w:val="B782AA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A3EC8"/>
    <w:multiLevelType w:val="multilevel"/>
    <w:tmpl w:val="668684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FB47AE"/>
    <w:multiLevelType w:val="multilevel"/>
    <w:tmpl w:val="680CFE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617EB4"/>
    <w:multiLevelType w:val="multilevel"/>
    <w:tmpl w:val="16EA89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8F560E"/>
    <w:multiLevelType w:val="multilevel"/>
    <w:tmpl w:val="386CE0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C9649E"/>
    <w:multiLevelType w:val="multilevel"/>
    <w:tmpl w:val="B6C64E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B514B"/>
    <w:multiLevelType w:val="multilevel"/>
    <w:tmpl w:val="CFC2C0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57200"/>
    <w:multiLevelType w:val="multilevel"/>
    <w:tmpl w:val="51A6BB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F52B1"/>
    <w:multiLevelType w:val="multilevel"/>
    <w:tmpl w:val="53F2E4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F325B"/>
    <w:multiLevelType w:val="multilevel"/>
    <w:tmpl w:val="F9D623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1A7198"/>
    <w:multiLevelType w:val="multilevel"/>
    <w:tmpl w:val="5A221F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6618441">
    <w:abstractNumId w:val="6"/>
  </w:num>
  <w:num w:numId="2" w16cid:durableId="1153180087">
    <w:abstractNumId w:val="8"/>
  </w:num>
  <w:num w:numId="3" w16cid:durableId="1216087574">
    <w:abstractNumId w:val="7"/>
  </w:num>
  <w:num w:numId="4" w16cid:durableId="1404642531">
    <w:abstractNumId w:val="12"/>
  </w:num>
  <w:num w:numId="5" w16cid:durableId="1464425144">
    <w:abstractNumId w:val="9"/>
  </w:num>
  <w:num w:numId="6" w16cid:durableId="1445230323">
    <w:abstractNumId w:val="10"/>
  </w:num>
  <w:num w:numId="7" w16cid:durableId="2055345042">
    <w:abstractNumId w:val="2"/>
  </w:num>
  <w:num w:numId="8" w16cid:durableId="1503544923">
    <w:abstractNumId w:val="1"/>
  </w:num>
  <w:num w:numId="9" w16cid:durableId="1945456962">
    <w:abstractNumId w:val="4"/>
  </w:num>
  <w:num w:numId="10" w16cid:durableId="294414217">
    <w:abstractNumId w:val="3"/>
  </w:num>
  <w:num w:numId="11" w16cid:durableId="437993379">
    <w:abstractNumId w:val="5"/>
  </w:num>
  <w:num w:numId="12" w16cid:durableId="831724594">
    <w:abstractNumId w:val="11"/>
  </w:num>
  <w:num w:numId="13" w16cid:durableId="196676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4B12"/>
    <w:rsid w:val="0026238E"/>
    <w:rsid w:val="005D4B12"/>
    <w:rsid w:val="00E777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B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4B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4B12"/>
    <w:rPr>
      <w:rFonts w:ascii="Century" w:eastAsia="Century" w:hAnsi="Century"/>
    </w:rPr>
  </w:style>
  <w:style w:type="paragraph" w:customStyle="1" w:styleId="ja0">
    <w:name w:val="款（ja）"/>
    <w:basedOn w:val="a"/>
    <w:rsid w:val="005D4B12"/>
    <w:pPr>
      <w:widowControl w:val="0"/>
      <w:ind w:left="1321" w:hanging="221"/>
    </w:pPr>
    <w:rPr>
      <w:rFonts w:ascii="ＭＳ 明朝" w:eastAsia="ＭＳ 明朝" w:hAnsi="ＭＳ 明朝" w:cs="ＭＳ 明朝"/>
      <w:b/>
    </w:rPr>
  </w:style>
  <w:style w:type="paragraph" w:customStyle="1" w:styleId="en0">
    <w:name w:val="款（en）"/>
    <w:basedOn w:val="ja0"/>
    <w:rsid w:val="005D4B12"/>
    <w:rPr>
      <w:rFonts w:ascii="Century" w:eastAsia="Century" w:hAnsi="Century" w:cs="Century"/>
    </w:rPr>
  </w:style>
  <w:style w:type="paragraph" w:customStyle="1" w:styleId="ja1">
    <w:name w:val="前文（ja）"/>
    <w:basedOn w:val="a"/>
    <w:rsid w:val="005D4B12"/>
    <w:pPr>
      <w:widowControl w:val="0"/>
      <w:ind w:firstLine="219"/>
    </w:pPr>
    <w:rPr>
      <w:rFonts w:ascii="ＭＳ 明朝" w:eastAsia="ＭＳ 明朝" w:hAnsi="ＭＳ 明朝" w:cs="ＭＳ 明朝"/>
    </w:rPr>
  </w:style>
  <w:style w:type="paragraph" w:customStyle="1" w:styleId="en1">
    <w:name w:val="前文（en）"/>
    <w:basedOn w:val="ja1"/>
    <w:rsid w:val="005D4B12"/>
    <w:rPr>
      <w:rFonts w:ascii="Century" w:eastAsia="Century" w:hAnsi="Century" w:cs="Century"/>
    </w:rPr>
  </w:style>
  <w:style w:type="paragraph" w:customStyle="1" w:styleId="ja2">
    <w:name w:val="附則（ja）"/>
    <w:basedOn w:val="a"/>
    <w:rsid w:val="005D4B12"/>
    <w:pPr>
      <w:widowControl w:val="0"/>
      <w:ind w:left="881" w:hanging="221"/>
    </w:pPr>
    <w:rPr>
      <w:rFonts w:ascii="ＭＳ 明朝" w:eastAsia="ＭＳ 明朝" w:hAnsi="ＭＳ 明朝" w:cs="ＭＳ 明朝"/>
      <w:b/>
    </w:rPr>
  </w:style>
  <w:style w:type="paragraph" w:customStyle="1" w:styleId="en2">
    <w:name w:val="附則（en）"/>
    <w:basedOn w:val="ja2"/>
    <w:rsid w:val="005D4B12"/>
    <w:rPr>
      <w:rFonts w:ascii="Century" w:hAnsi="Century" w:cs="Century"/>
    </w:rPr>
  </w:style>
  <w:style w:type="paragraph" w:customStyle="1" w:styleId="ja3">
    <w:name w:val="章（ja）"/>
    <w:basedOn w:val="a"/>
    <w:rsid w:val="005D4B12"/>
    <w:pPr>
      <w:widowControl w:val="0"/>
      <w:ind w:left="881" w:hanging="221"/>
    </w:pPr>
    <w:rPr>
      <w:rFonts w:ascii="ＭＳ 明朝" w:eastAsia="ＭＳ 明朝" w:hAnsi="ＭＳ 明朝" w:cs="ＭＳ 明朝"/>
      <w:b/>
    </w:rPr>
  </w:style>
  <w:style w:type="paragraph" w:customStyle="1" w:styleId="en3">
    <w:name w:val="章（en）"/>
    <w:basedOn w:val="ja3"/>
    <w:rsid w:val="005D4B12"/>
    <w:rPr>
      <w:rFonts w:ascii="Century" w:eastAsia="Century" w:hAnsi="Century" w:cs="Century"/>
    </w:rPr>
  </w:style>
  <w:style w:type="paragraph" w:customStyle="1" w:styleId="ja4">
    <w:name w:val="目次編（ja）"/>
    <w:basedOn w:val="a"/>
    <w:rsid w:val="005D4B12"/>
    <w:pPr>
      <w:widowControl w:val="0"/>
      <w:ind w:left="219" w:hanging="219"/>
    </w:pPr>
    <w:rPr>
      <w:rFonts w:ascii="ＭＳ 明朝" w:eastAsia="ＭＳ 明朝" w:hAnsi="ＭＳ 明朝"/>
    </w:rPr>
  </w:style>
  <w:style w:type="paragraph" w:customStyle="1" w:styleId="en4">
    <w:name w:val="目次編（en）"/>
    <w:basedOn w:val="ja4"/>
    <w:rsid w:val="005D4B12"/>
    <w:rPr>
      <w:rFonts w:ascii="Century" w:eastAsia="Century" w:hAnsi="Century"/>
    </w:rPr>
  </w:style>
  <w:style w:type="paragraph" w:customStyle="1" w:styleId="ja5">
    <w:name w:val="目次章（ja）"/>
    <w:basedOn w:val="a"/>
    <w:rsid w:val="005D4B12"/>
    <w:pPr>
      <w:widowControl w:val="0"/>
      <w:ind w:left="439" w:hanging="219"/>
    </w:pPr>
    <w:rPr>
      <w:rFonts w:ascii="ＭＳ 明朝" w:eastAsia="ＭＳ 明朝" w:hAnsi="ＭＳ 明朝"/>
    </w:rPr>
  </w:style>
  <w:style w:type="paragraph" w:customStyle="1" w:styleId="en5">
    <w:name w:val="目次章（en）"/>
    <w:basedOn w:val="ja5"/>
    <w:rsid w:val="005D4B12"/>
    <w:rPr>
      <w:rFonts w:ascii="Century" w:eastAsia="Century" w:hAnsi="Century"/>
    </w:rPr>
  </w:style>
  <w:style w:type="paragraph" w:customStyle="1" w:styleId="ja6">
    <w:name w:val="目次節（ja）"/>
    <w:basedOn w:val="a"/>
    <w:rsid w:val="005D4B12"/>
    <w:pPr>
      <w:widowControl w:val="0"/>
      <w:ind w:left="659" w:hanging="219"/>
    </w:pPr>
    <w:rPr>
      <w:rFonts w:ascii="ＭＳ 明朝" w:eastAsia="ＭＳ 明朝" w:hAnsi="ＭＳ 明朝"/>
    </w:rPr>
  </w:style>
  <w:style w:type="paragraph" w:customStyle="1" w:styleId="en6">
    <w:name w:val="目次節（en）"/>
    <w:basedOn w:val="ja6"/>
    <w:rsid w:val="005D4B12"/>
    <w:rPr>
      <w:rFonts w:ascii="Century" w:eastAsia="Century" w:hAnsi="Century"/>
    </w:rPr>
  </w:style>
  <w:style w:type="paragraph" w:customStyle="1" w:styleId="ja7">
    <w:name w:val="目次款（ja）"/>
    <w:basedOn w:val="a"/>
    <w:rsid w:val="005D4B12"/>
    <w:pPr>
      <w:widowControl w:val="0"/>
      <w:ind w:left="879" w:hanging="219"/>
    </w:pPr>
    <w:rPr>
      <w:rFonts w:ascii="ＭＳ 明朝" w:eastAsia="ＭＳ 明朝" w:hAnsi="ＭＳ 明朝" w:cs="Kochi Mincho"/>
    </w:rPr>
  </w:style>
  <w:style w:type="paragraph" w:customStyle="1" w:styleId="en7">
    <w:name w:val="目次款（en）"/>
    <w:basedOn w:val="ja7"/>
    <w:rsid w:val="005D4B12"/>
    <w:rPr>
      <w:rFonts w:ascii="Century" w:eastAsia="Century" w:hAnsi="Century"/>
    </w:rPr>
  </w:style>
  <w:style w:type="paragraph" w:customStyle="1" w:styleId="ja8">
    <w:name w:val="別表名（ja）"/>
    <w:basedOn w:val="a"/>
    <w:rsid w:val="005D4B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4B12"/>
    <w:rPr>
      <w:rFonts w:ascii="Century" w:eastAsia="Century" w:hAnsi="Century" w:cs="Century"/>
    </w:rPr>
  </w:style>
  <w:style w:type="paragraph" w:customStyle="1" w:styleId="ja9">
    <w:name w:val="目（ja）"/>
    <w:basedOn w:val="a"/>
    <w:rsid w:val="005D4B12"/>
    <w:pPr>
      <w:widowControl w:val="0"/>
      <w:ind w:left="1541" w:hanging="221"/>
    </w:pPr>
    <w:rPr>
      <w:rFonts w:ascii="ＭＳ 明朝" w:eastAsia="ＭＳ 明朝" w:hAnsi="ＭＳ 明朝" w:cs="ＭＳ 明朝"/>
      <w:b/>
    </w:rPr>
  </w:style>
  <w:style w:type="paragraph" w:customStyle="1" w:styleId="en9">
    <w:name w:val="目（en）"/>
    <w:basedOn w:val="ja9"/>
    <w:rsid w:val="005D4B12"/>
    <w:rPr>
      <w:rFonts w:ascii="Century" w:eastAsia="Century" w:hAnsi="Century" w:cs="Century"/>
    </w:rPr>
  </w:style>
  <w:style w:type="paragraph" w:customStyle="1" w:styleId="jaa">
    <w:name w:val="見出し（ja）"/>
    <w:basedOn w:val="a"/>
    <w:rsid w:val="005D4B12"/>
    <w:pPr>
      <w:widowControl w:val="0"/>
      <w:ind w:left="439" w:hanging="219"/>
    </w:pPr>
    <w:rPr>
      <w:rFonts w:ascii="ＭＳ 明朝" w:eastAsia="ＭＳ 明朝" w:hAnsi="ＭＳ 明朝" w:cs="ＭＳ 明朝"/>
    </w:rPr>
  </w:style>
  <w:style w:type="paragraph" w:customStyle="1" w:styleId="ena">
    <w:name w:val="見出し（en）"/>
    <w:basedOn w:val="jaa"/>
    <w:rsid w:val="005D4B12"/>
    <w:rPr>
      <w:rFonts w:ascii="Century" w:eastAsia="Century" w:hAnsi="Century" w:cs="Century"/>
    </w:rPr>
  </w:style>
  <w:style w:type="paragraph" w:styleId="a3">
    <w:name w:val="footer"/>
    <w:basedOn w:val="a"/>
    <w:rsid w:val="005D4B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4B12"/>
    <w:pPr>
      <w:widowControl w:val="0"/>
      <w:ind w:left="1099" w:hanging="219"/>
    </w:pPr>
    <w:rPr>
      <w:rFonts w:ascii="ＭＳ 明朝" w:eastAsia="ＭＳ 明朝" w:hAnsi="ＭＳ 明朝" w:cs="Kochi Mincho"/>
    </w:rPr>
  </w:style>
  <w:style w:type="paragraph" w:customStyle="1" w:styleId="enb">
    <w:name w:val="目次目（en）"/>
    <w:basedOn w:val="jab"/>
    <w:rsid w:val="005D4B12"/>
    <w:rPr>
      <w:rFonts w:ascii="Century" w:eastAsia="Century" w:hAnsi="Century"/>
    </w:rPr>
  </w:style>
  <w:style w:type="paragraph" w:customStyle="1" w:styleId="jac">
    <w:name w:val="目次附則（ja）"/>
    <w:basedOn w:val="a"/>
    <w:rsid w:val="005D4B12"/>
    <w:pPr>
      <w:widowControl w:val="0"/>
      <w:ind w:left="439" w:hanging="219"/>
    </w:pPr>
    <w:rPr>
      <w:rFonts w:ascii="ＭＳ 明朝" w:eastAsia="ＭＳ 明朝" w:hAnsi="ＭＳ 明朝" w:cs="Kochi Mincho"/>
    </w:rPr>
  </w:style>
  <w:style w:type="paragraph" w:customStyle="1" w:styleId="enc">
    <w:name w:val="目次附則（en）"/>
    <w:basedOn w:val="jac"/>
    <w:rsid w:val="005D4B12"/>
    <w:rPr>
      <w:rFonts w:ascii="Century" w:eastAsia="Century" w:hAnsi="Century" w:cs="Century"/>
    </w:rPr>
  </w:style>
  <w:style w:type="paragraph" w:customStyle="1" w:styleId="jad">
    <w:name w:val="目次前文（ja）"/>
    <w:basedOn w:val="jac"/>
    <w:rsid w:val="005D4B12"/>
  </w:style>
  <w:style w:type="paragraph" w:customStyle="1" w:styleId="end">
    <w:name w:val="目次前文（en）"/>
    <w:basedOn w:val="enc"/>
    <w:rsid w:val="005D4B12"/>
  </w:style>
  <w:style w:type="paragraph" w:customStyle="1" w:styleId="jae">
    <w:name w:val="制定文（ja）"/>
    <w:basedOn w:val="a"/>
    <w:rsid w:val="005D4B12"/>
    <w:pPr>
      <w:widowControl w:val="0"/>
      <w:ind w:firstLine="219"/>
    </w:pPr>
    <w:rPr>
      <w:rFonts w:ascii="ＭＳ 明朝" w:eastAsia="ＭＳ 明朝" w:hAnsi="ＭＳ 明朝" w:cs="ＭＳ 明朝"/>
    </w:rPr>
  </w:style>
  <w:style w:type="paragraph" w:customStyle="1" w:styleId="ene">
    <w:name w:val="制定文（en）"/>
    <w:basedOn w:val="jae"/>
    <w:rsid w:val="005D4B12"/>
    <w:rPr>
      <w:rFonts w:ascii="Century" w:eastAsia="Century" w:hAnsi="Century" w:cs="Century"/>
    </w:rPr>
  </w:style>
  <w:style w:type="paragraph" w:customStyle="1" w:styleId="jaf">
    <w:name w:val="法令番号（ja）"/>
    <w:basedOn w:val="a"/>
    <w:rsid w:val="005D4B12"/>
    <w:pPr>
      <w:widowControl w:val="0"/>
      <w:jc w:val="right"/>
    </w:pPr>
    <w:rPr>
      <w:rFonts w:ascii="ＭＳ 明朝" w:eastAsia="ＭＳ 明朝" w:hAnsi="ＭＳ 明朝" w:cs="Kochi Mincho"/>
    </w:rPr>
  </w:style>
  <w:style w:type="paragraph" w:customStyle="1" w:styleId="enf">
    <w:name w:val="法令番号（en）"/>
    <w:basedOn w:val="jaf"/>
    <w:rsid w:val="005D4B12"/>
    <w:rPr>
      <w:rFonts w:ascii="Century" w:eastAsia="Century" w:hAnsi="Century" w:cs="Century"/>
    </w:rPr>
  </w:style>
  <w:style w:type="paragraph" w:customStyle="1" w:styleId="jaf0">
    <w:name w:val="目次（ja）"/>
    <w:basedOn w:val="a"/>
    <w:rsid w:val="005D4B12"/>
    <w:rPr>
      <w:rFonts w:ascii="ＭＳ 明朝" w:eastAsia="ＭＳ 明朝" w:hAnsi="ＭＳ 明朝"/>
    </w:rPr>
  </w:style>
  <w:style w:type="paragraph" w:customStyle="1" w:styleId="enf0">
    <w:name w:val="目次（en）"/>
    <w:basedOn w:val="jaf0"/>
    <w:rsid w:val="005D4B12"/>
    <w:rPr>
      <w:rFonts w:ascii="Century" w:eastAsia="Century" w:hAnsi="Century"/>
    </w:rPr>
  </w:style>
  <w:style w:type="paragraph" w:customStyle="1" w:styleId="jaf1">
    <w:name w:val="編（ja）"/>
    <w:basedOn w:val="a"/>
    <w:rsid w:val="005D4B12"/>
    <w:pPr>
      <w:widowControl w:val="0"/>
      <w:ind w:left="661" w:hanging="221"/>
    </w:pPr>
    <w:rPr>
      <w:rFonts w:ascii="ＭＳ 明朝" w:eastAsia="ＭＳ 明朝" w:hAnsi="ＭＳ 明朝" w:cs="ＭＳ 明朝"/>
      <w:b/>
    </w:rPr>
  </w:style>
  <w:style w:type="paragraph" w:customStyle="1" w:styleId="enf1">
    <w:name w:val="編（en）"/>
    <w:basedOn w:val="jaf1"/>
    <w:rsid w:val="005D4B12"/>
    <w:rPr>
      <w:rFonts w:ascii="Century" w:eastAsia="Century" w:hAnsi="Century" w:cs="Century"/>
    </w:rPr>
  </w:style>
  <w:style w:type="paragraph" w:customStyle="1" w:styleId="jaf2">
    <w:name w:val="節（ja）"/>
    <w:basedOn w:val="a"/>
    <w:rsid w:val="005D4B12"/>
    <w:pPr>
      <w:widowControl w:val="0"/>
      <w:ind w:left="1101" w:hanging="221"/>
    </w:pPr>
    <w:rPr>
      <w:rFonts w:ascii="ＭＳ 明朝" w:eastAsia="ＭＳ 明朝" w:hAnsi="ＭＳ 明朝" w:cs="ＭＳ 明朝"/>
      <w:b/>
    </w:rPr>
  </w:style>
  <w:style w:type="paragraph" w:customStyle="1" w:styleId="enf2">
    <w:name w:val="節（en）"/>
    <w:basedOn w:val="jaf2"/>
    <w:rsid w:val="005D4B12"/>
    <w:rPr>
      <w:rFonts w:ascii="Century" w:eastAsia="Century" w:hAnsi="Century" w:cs="Century"/>
    </w:rPr>
  </w:style>
  <w:style w:type="paragraph" w:customStyle="1" w:styleId="jaf3">
    <w:name w:val="条（ja）"/>
    <w:basedOn w:val="a"/>
    <w:rsid w:val="005D4B12"/>
    <w:pPr>
      <w:widowControl w:val="0"/>
      <w:ind w:left="219" w:hanging="219"/>
    </w:pPr>
    <w:rPr>
      <w:rFonts w:ascii="ＭＳ 明朝" w:eastAsia="ＭＳ 明朝" w:hAnsi="ＭＳ 明朝" w:cs="ＭＳ 明朝"/>
    </w:rPr>
  </w:style>
  <w:style w:type="paragraph" w:customStyle="1" w:styleId="enf3">
    <w:name w:val="条（en）"/>
    <w:basedOn w:val="jaf3"/>
    <w:rsid w:val="005D4B12"/>
    <w:rPr>
      <w:rFonts w:ascii="Century" w:eastAsia="Century" w:hAnsi="Century" w:cs="Century"/>
    </w:rPr>
  </w:style>
  <w:style w:type="paragraph" w:customStyle="1" w:styleId="jaf4">
    <w:name w:val="項（ja）"/>
    <w:basedOn w:val="a"/>
    <w:rsid w:val="005D4B12"/>
    <w:pPr>
      <w:widowControl w:val="0"/>
      <w:ind w:left="219" w:hanging="219"/>
    </w:pPr>
    <w:rPr>
      <w:rFonts w:ascii="ＭＳ 明朝" w:eastAsia="ＭＳ 明朝" w:hAnsi="ＭＳ 明朝" w:cs="ＭＳ 明朝"/>
    </w:rPr>
  </w:style>
  <w:style w:type="paragraph" w:customStyle="1" w:styleId="enf4">
    <w:name w:val="項（en）"/>
    <w:basedOn w:val="jaf4"/>
    <w:rsid w:val="005D4B12"/>
    <w:rPr>
      <w:rFonts w:ascii="Century" w:eastAsia="Century" w:hAnsi="Century" w:cs="Century"/>
    </w:rPr>
  </w:style>
  <w:style w:type="paragraph" w:customStyle="1" w:styleId="jaf5">
    <w:name w:val="項　番号なし（ja）"/>
    <w:basedOn w:val="a"/>
    <w:rsid w:val="005D4B12"/>
    <w:pPr>
      <w:widowControl w:val="0"/>
      <w:ind w:firstLine="221"/>
    </w:pPr>
    <w:rPr>
      <w:rFonts w:ascii="ＭＳ 明朝" w:eastAsia="ＭＳ 明朝" w:hAnsi="ＭＳ 明朝" w:cs="ＭＳ 明朝"/>
    </w:rPr>
  </w:style>
  <w:style w:type="paragraph" w:customStyle="1" w:styleId="enf5">
    <w:name w:val="項　番号なし（en）"/>
    <w:basedOn w:val="jaf5"/>
    <w:rsid w:val="005D4B12"/>
    <w:rPr>
      <w:rFonts w:ascii="Century" w:eastAsia="Century" w:hAnsi="Century" w:cs="Century"/>
    </w:rPr>
  </w:style>
  <w:style w:type="paragraph" w:customStyle="1" w:styleId="jaf6">
    <w:name w:val="号（ja）"/>
    <w:basedOn w:val="a"/>
    <w:rsid w:val="005D4B12"/>
    <w:pPr>
      <w:widowControl w:val="0"/>
      <w:ind w:left="439" w:hanging="219"/>
    </w:pPr>
    <w:rPr>
      <w:rFonts w:ascii="ＭＳ 明朝" w:eastAsia="ＭＳ 明朝" w:hAnsi="ＭＳ 明朝" w:cs="ＭＳ 明朝"/>
    </w:rPr>
  </w:style>
  <w:style w:type="paragraph" w:customStyle="1" w:styleId="enf6">
    <w:name w:val="号（en）"/>
    <w:basedOn w:val="jaf6"/>
    <w:rsid w:val="005D4B12"/>
    <w:rPr>
      <w:rFonts w:ascii="Century" w:eastAsia="Century" w:hAnsi="Century" w:cs="Century"/>
    </w:rPr>
  </w:style>
  <w:style w:type="paragraph" w:customStyle="1" w:styleId="jaf7">
    <w:name w:val="号　番号なし（ja）"/>
    <w:basedOn w:val="a"/>
    <w:rsid w:val="005D4B12"/>
    <w:pPr>
      <w:widowControl w:val="0"/>
      <w:ind w:left="221" w:firstLine="221"/>
    </w:pPr>
    <w:rPr>
      <w:rFonts w:ascii="ＭＳ 明朝" w:eastAsia="ＭＳ 明朝" w:hAnsi="ＭＳ 明朝" w:cs="ＭＳ 明朝"/>
    </w:rPr>
  </w:style>
  <w:style w:type="paragraph" w:customStyle="1" w:styleId="enf7">
    <w:name w:val="号　番号なし（en）"/>
    <w:basedOn w:val="jaf7"/>
    <w:rsid w:val="005D4B12"/>
    <w:rPr>
      <w:rFonts w:ascii="Century" w:eastAsia="Century" w:hAnsi="Century" w:cs="Century"/>
    </w:rPr>
  </w:style>
  <w:style w:type="paragraph" w:customStyle="1" w:styleId="jaf8">
    <w:name w:val="備考号（ja）"/>
    <w:basedOn w:val="a"/>
    <w:rsid w:val="005D4B12"/>
    <w:pPr>
      <w:widowControl w:val="0"/>
      <w:ind w:left="659" w:hanging="219"/>
    </w:pPr>
    <w:rPr>
      <w:rFonts w:ascii="ＭＳ 明朝" w:eastAsia="ＭＳ 明朝" w:hAnsi="ＭＳ 明朝" w:cs="ＭＳ 明朝"/>
    </w:rPr>
  </w:style>
  <w:style w:type="paragraph" w:customStyle="1" w:styleId="enf8">
    <w:name w:val="備考号（en）"/>
    <w:basedOn w:val="jaf8"/>
    <w:rsid w:val="005D4B12"/>
    <w:rPr>
      <w:rFonts w:ascii="Century" w:eastAsia="Century" w:hAnsi="Century" w:cs="Century"/>
    </w:rPr>
  </w:style>
  <w:style w:type="paragraph" w:customStyle="1" w:styleId="jaf9">
    <w:name w:val="号細分（ja）"/>
    <w:basedOn w:val="a"/>
    <w:rsid w:val="005D4B12"/>
    <w:pPr>
      <w:widowControl w:val="0"/>
      <w:ind w:left="659" w:hanging="219"/>
    </w:pPr>
    <w:rPr>
      <w:rFonts w:ascii="ＭＳ 明朝" w:eastAsia="ＭＳ 明朝" w:hAnsi="ＭＳ 明朝" w:cs="ＭＳ 明朝"/>
    </w:rPr>
  </w:style>
  <w:style w:type="paragraph" w:customStyle="1" w:styleId="enf9">
    <w:name w:val="号細分（en）"/>
    <w:basedOn w:val="jaf9"/>
    <w:rsid w:val="005D4B12"/>
    <w:rPr>
      <w:rFonts w:ascii="Century" w:eastAsia="Century" w:hAnsi="Century" w:cs="Century"/>
    </w:rPr>
  </w:style>
  <w:style w:type="paragraph" w:customStyle="1" w:styleId="jafa">
    <w:name w:val="号細分　番号なし（ja）"/>
    <w:basedOn w:val="a"/>
    <w:rsid w:val="005D4B12"/>
    <w:pPr>
      <w:widowControl w:val="0"/>
      <w:ind w:left="439"/>
    </w:pPr>
    <w:rPr>
      <w:rFonts w:ascii="ＭＳ 明朝" w:eastAsia="ＭＳ 明朝" w:hAnsi="ＭＳ 明朝" w:cs="ＭＳ 明朝"/>
    </w:rPr>
  </w:style>
  <w:style w:type="paragraph" w:customStyle="1" w:styleId="enfa">
    <w:name w:val="号細分　番号なし（en）"/>
    <w:basedOn w:val="jafa"/>
    <w:rsid w:val="005D4B12"/>
    <w:rPr>
      <w:rFonts w:ascii="Century" w:eastAsia="Century" w:hAnsi="Century" w:cs="Century"/>
    </w:rPr>
  </w:style>
  <w:style w:type="paragraph" w:customStyle="1" w:styleId="jafb">
    <w:name w:val="備考号細分（ja）"/>
    <w:basedOn w:val="a"/>
    <w:rsid w:val="005D4B12"/>
    <w:pPr>
      <w:widowControl w:val="0"/>
      <w:ind w:left="1099" w:hanging="439"/>
    </w:pPr>
    <w:rPr>
      <w:rFonts w:ascii="ＭＳ 明朝" w:eastAsia="ＭＳ 明朝" w:hAnsi="ＭＳ 明朝" w:cs="ＭＳ 明朝"/>
    </w:rPr>
  </w:style>
  <w:style w:type="paragraph" w:customStyle="1" w:styleId="enfb">
    <w:name w:val="備考号細分（en）"/>
    <w:basedOn w:val="jafb"/>
    <w:rsid w:val="005D4B12"/>
    <w:rPr>
      <w:rFonts w:ascii="Century" w:eastAsia="Century" w:hAnsi="Century" w:cs="Century"/>
    </w:rPr>
  </w:style>
  <w:style w:type="paragraph" w:customStyle="1" w:styleId="jafc">
    <w:name w:val="号細細分（ja）"/>
    <w:basedOn w:val="a"/>
    <w:rsid w:val="005D4B12"/>
    <w:pPr>
      <w:widowControl w:val="0"/>
      <w:ind w:left="1099" w:hanging="439"/>
    </w:pPr>
    <w:rPr>
      <w:rFonts w:ascii="ＭＳ 明朝" w:eastAsia="ＭＳ 明朝" w:hAnsi="ＭＳ 明朝" w:cs="ＭＳ 明朝"/>
    </w:rPr>
  </w:style>
  <w:style w:type="paragraph" w:customStyle="1" w:styleId="enfc">
    <w:name w:val="号細細分（en）"/>
    <w:basedOn w:val="jafc"/>
    <w:rsid w:val="005D4B12"/>
    <w:rPr>
      <w:rFonts w:ascii="Century" w:eastAsia="Century" w:hAnsi="Century" w:cs="Century"/>
    </w:rPr>
  </w:style>
  <w:style w:type="paragraph" w:customStyle="1" w:styleId="jafd">
    <w:name w:val="号細細分　番号なし（ja）"/>
    <w:basedOn w:val="a"/>
    <w:rsid w:val="005D4B12"/>
    <w:pPr>
      <w:widowControl w:val="0"/>
      <w:ind w:left="659"/>
    </w:pPr>
    <w:rPr>
      <w:rFonts w:ascii="ＭＳ 明朝" w:eastAsia="ＭＳ 明朝" w:hAnsi="ＭＳ 明朝" w:cs="ＭＳ 明朝"/>
    </w:rPr>
  </w:style>
  <w:style w:type="paragraph" w:customStyle="1" w:styleId="enfd">
    <w:name w:val="号細細分　番号なし（en）"/>
    <w:basedOn w:val="jafd"/>
    <w:rsid w:val="005D4B12"/>
    <w:rPr>
      <w:rFonts w:ascii="Century" w:eastAsia="Century" w:hAnsi="Century" w:cs="Century"/>
    </w:rPr>
  </w:style>
  <w:style w:type="paragraph" w:customStyle="1" w:styleId="jafe">
    <w:name w:val="備考号細細分（ja）"/>
    <w:basedOn w:val="a"/>
    <w:rsid w:val="005D4B12"/>
    <w:pPr>
      <w:widowControl w:val="0"/>
      <w:ind w:left="1319" w:hanging="439"/>
    </w:pPr>
    <w:rPr>
      <w:rFonts w:ascii="ＭＳ 明朝" w:eastAsia="ＭＳ 明朝" w:hAnsi="ＭＳ 明朝" w:cs="ＭＳ 明朝"/>
    </w:rPr>
  </w:style>
  <w:style w:type="paragraph" w:customStyle="1" w:styleId="enfe">
    <w:name w:val="備考号細細分（en）"/>
    <w:basedOn w:val="jafe"/>
    <w:rsid w:val="005D4B12"/>
    <w:rPr>
      <w:rFonts w:ascii="Century" w:eastAsia="Century" w:hAnsi="Century" w:cs="Century"/>
    </w:rPr>
  </w:style>
  <w:style w:type="paragraph" w:customStyle="1" w:styleId="jaff">
    <w:name w:val="号細細細分（ja）"/>
    <w:basedOn w:val="a"/>
    <w:rsid w:val="005D4B12"/>
    <w:pPr>
      <w:widowControl w:val="0"/>
      <w:ind w:left="1319" w:hanging="439"/>
    </w:pPr>
    <w:rPr>
      <w:rFonts w:ascii="ＭＳ 明朝" w:eastAsia="ＭＳ 明朝" w:hAnsi="ＭＳ 明朝" w:cs="ＭＳ 明朝"/>
    </w:rPr>
  </w:style>
  <w:style w:type="paragraph" w:customStyle="1" w:styleId="enff">
    <w:name w:val="号細細細分（en）"/>
    <w:basedOn w:val="jaff"/>
    <w:rsid w:val="005D4B12"/>
    <w:rPr>
      <w:rFonts w:ascii="Century" w:eastAsia="Century" w:hAnsi="Century" w:cs="Century"/>
    </w:rPr>
  </w:style>
  <w:style w:type="paragraph" w:customStyle="1" w:styleId="jaff0">
    <w:name w:val="号細細細分　番号なし（ja）"/>
    <w:basedOn w:val="a"/>
    <w:rsid w:val="005D4B12"/>
    <w:pPr>
      <w:widowControl w:val="0"/>
      <w:ind w:left="879"/>
    </w:pPr>
    <w:rPr>
      <w:rFonts w:ascii="ＭＳ 明朝" w:eastAsia="ＭＳ 明朝" w:hAnsi="ＭＳ 明朝" w:cs="ＭＳ 明朝"/>
    </w:rPr>
  </w:style>
  <w:style w:type="paragraph" w:customStyle="1" w:styleId="enff0">
    <w:name w:val="号細細細分　番号なし（en）"/>
    <w:basedOn w:val="jaff0"/>
    <w:rsid w:val="005D4B12"/>
    <w:rPr>
      <w:rFonts w:ascii="Century" w:eastAsia="Century" w:hAnsi="Century" w:cs="Century"/>
    </w:rPr>
  </w:style>
  <w:style w:type="paragraph" w:customStyle="1" w:styleId="jaff1">
    <w:name w:val="備考号細細細分（ja）"/>
    <w:basedOn w:val="a"/>
    <w:rsid w:val="005D4B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4B12"/>
    <w:rPr>
      <w:rFonts w:ascii="Century" w:eastAsia="Century" w:hAnsi="Century" w:cs="Century"/>
    </w:rPr>
  </w:style>
  <w:style w:type="paragraph" w:customStyle="1" w:styleId="jaff2">
    <w:name w:val="類（ja）"/>
    <w:basedOn w:val="a"/>
    <w:rsid w:val="005D4B12"/>
    <w:pPr>
      <w:widowControl w:val="0"/>
      <w:ind w:left="439" w:hanging="219"/>
    </w:pPr>
    <w:rPr>
      <w:rFonts w:ascii="ＭＳ 明朝" w:eastAsia="ＭＳ 明朝" w:hAnsi="ＭＳ 明朝" w:cs="ＭＳ 明朝"/>
    </w:rPr>
  </w:style>
  <w:style w:type="paragraph" w:customStyle="1" w:styleId="enff2">
    <w:name w:val="類（en）"/>
    <w:basedOn w:val="jaff2"/>
    <w:rsid w:val="005D4B12"/>
    <w:rPr>
      <w:rFonts w:ascii="Century" w:eastAsia="Century" w:hAnsi="Century" w:cs="Century"/>
    </w:rPr>
  </w:style>
  <w:style w:type="paragraph" w:customStyle="1" w:styleId="jaff3">
    <w:name w:val="公布文（ja）"/>
    <w:basedOn w:val="a"/>
    <w:rsid w:val="005D4B12"/>
    <w:pPr>
      <w:widowControl w:val="0"/>
      <w:ind w:firstLine="219"/>
    </w:pPr>
    <w:rPr>
      <w:rFonts w:ascii="ＭＳ 明朝" w:eastAsia="ＭＳ 明朝" w:hAnsi="ＭＳ 明朝" w:cs="ＭＳ 明朝"/>
    </w:rPr>
  </w:style>
  <w:style w:type="paragraph" w:customStyle="1" w:styleId="enff3">
    <w:name w:val="公布文（en）"/>
    <w:basedOn w:val="jaff3"/>
    <w:rsid w:val="005D4B12"/>
    <w:rPr>
      <w:rFonts w:ascii="Century" w:eastAsia="Century" w:hAnsi="Century" w:cs="Century"/>
    </w:rPr>
  </w:style>
  <w:style w:type="paragraph" w:customStyle="1" w:styleId="jaen">
    <w:name w:val="表（ja：en）"/>
    <w:basedOn w:val="a"/>
    <w:rsid w:val="005D4B12"/>
    <w:pPr>
      <w:widowControl w:val="0"/>
      <w:snapToGrid w:val="0"/>
    </w:pPr>
    <w:rPr>
      <w:rFonts w:ascii="Century" w:eastAsia="ＭＳ 明朝" w:hAnsi="Century"/>
    </w:rPr>
  </w:style>
  <w:style w:type="paragraph" w:customStyle="1" w:styleId="jaff4">
    <w:name w:val="備考（ja）"/>
    <w:basedOn w:val="a"/>
    <w:rsid w:val="005D4B12"/>
    <w:pPr>
      <w:widowControl w:val="0"/>
      <w:ind w:left="439" w:hanging="219"/>
    </w:pPr>
    <w:rPr>
      <w:rFonts w:ascii="ＭＳ 明朝" w:eastAsia="ＭＳ 明朝" w:hAnsi="ＭＳ 明朝" w:cs="ＭＳ 明朝"/>
    </w:rPr>
  </w:style>
  <w:style w:type="paragraph" w:customStyle="1" w:styleId="enff4">
    <w:name w:val="備考（en）"/>
    <w:basedOn w:val="jaff4"/>
    <w:rsid w:val="005D4B12"/>
    <w:rPr>
      <w:rFonts w:ascii="Century" w:eastAsia="Century" w:hAnsi="Century" w:cs="Century"/>
    </w:rPr>
  </w:style>
  <w:style w:type="paragraph" w:customStyle="1" w:styleId="jaff5">
    <w:name w:val="表タイトル（ja）"/>
    <w:basedOn w:val="a"/>
    <w:rsid w:val="005D4B12"/>
    <w:pPr>
      <w:widowControl w:val="0"/>
      <w:ind w:left="219"/>
    </w:pPr>
    <w:rPr>
      <w:rFonts w:ascii="ＭＳ 明朝" w:eastAsia="ＭＳ 明朝" w:hAnsi="ＭＳ 明朝" w:cs="ＭＳ 明朝"/>
    </w:rPr>
  </w:style>
  <w:style w:type="paragraph" w:customStyle="1" w:styleId="enff5">
    <w:name w:val="表タイトル（en）"/>
    <w:basedOn w:val="jaff5"/>
    <w:rsid w:val="005D4B12"/>
    <w:rPr>
      <w:rFonts w:ascii="Century" w:eastAsia="Century" w:hAnsi="Century" w:cs="Century"/>
    </w:rPr>
  </w:style>
  <w:style w:type="paragraph" w:customStyle="1" w:styleId="jaff6">
    <w:name w:val="改正規定文（ja）"/>
    <w:basedOn w:val="a"/>
    <w:rsid w:val="005D4B12"/>
    <w:pPr>
      <w:widowControl w:val="0"/>
      <w:ind w:left="219" w:firstLine="219"/>
    </w:pPr>
    <w:rPr>
      <w:rFonts w:ascii="ＭＳ 明朝" w:eastAsia="ＭＳ 明朝" w:hAnsi="ＭＳ 明朝" w:cs="ＭＳ 明朝"/>
    </w:rPr>
  </w:style>
  <w:style w:type="paragraph" w:customStyle="1" w:styleId="enff6">
    <w:name w:val="改正規定文（en）"/>
    <w:basedOn w:val="jaff6"/>
    <w:rsid w:val="005D4B12"/>
    <w:rPr>
      <w:rFonts w:ascii="Century" w:eastAsia="Century" w:hAnsi="Century" w:cs="Century"/>
    </w:rPr>
  </w:style>
  <w:style w:type="paragraph" w:customStyle="1" w:styleId="jaff7">
    <w:name w:val="付記（ja）"/>
    <w:basedOn w:val="a"/>
    <w:rsid w:val="005D4B12"/>
    <w:pPr>
      <w:widowControl w:val="0"/>
      <w:ind w:left="219" w:firstLine="219"/>
    </w:pPr>
    <w:rPr>
      <w:rFonts w:ascii="ＭＳ 明朝" w:eastAsia="ＭＳ 明朝" w:hAnsi="ＭＳ 明朝" w:cs="ＭＳ 明朝"/>
    </w:rPr>
  </w:style>
  <w:style w:type="paragraph" w:customStyle="1" w:styleId="enff7">
    <w:name w:val="付記（en）"/>
    <w:basedOn w:val="jaff7"/>
    <w:rsid w:val="005D4B12"/>
    <w:rPr>
      <w:rFonts w:ascii="Century" w:eastAsia="Century" w:hAnsi="Century" w:cs="Century"/>
    </w:rPr>
  </w:style>
  <w:style w:type="paragraph" w:customStyle="1" w:styleId="jaff8">
    <w:name w:val="様式名（ja）"/>
    <w:basedOn w:val="a"/>
    <w:rsid w:val="005D4B12"/>
    <w:pPr>
      <w:widowControl w:val="0"/>
      <w:ind w:left="439" w:hanging="219"/>
    </w:pPr>
    <w:rPr>
      <w:rFonts w:ascii="ＭＳ 明朝" w:eastAsia="ＭＳ 明朝" w:hAnsi="ＭＳ 明朝" w:cs="ＭＳ 明朝"/>
    </w:rPr>
  </w:style>
  <w:style w:type="paragraph" w:customStyle="1" w:styleId="enff8">
    <w:name w:val="様式名（en）"/>
    <w:basedOn w:val="jaff8"/>
    <w:rsid w:val="005D4B12"/>
    <w:rPr>
      <w:rFonts w:ascii="Century" w:eastAsia="Century" w:hAnsi="Century" w:cs="Century"/>
    </w:rPr>
  </w:style>
  <w:style w:type="paragraph" w:customStyle="1" w:styleId="jaff9">
    <w:name w:val="様式項目（ja）"/>
    <w:basedOn w:val="a"/>
    <w:rsid w:val="005D4B12"/>
    <w:pPr>
      <w:widowControl w:val="0"/>
      <w:ind w:left="221" w:firstLine="221"/>
    </w:pPr>
    <w:rPr>
      <w:rFonts w:ascii="ＭＳ 明朝" w:eastAsia="ＭＳ 明朝" w:hAnsi="ＭＳ 明朝" w:cs="ＭＳ 明朝"/>
    </w:rPr>
  </w:style>
  <w:style w:type="paragraph" w:customStyle="1" w:styleId="enff9">
    <w:name w:val="様式項目（en）"/>
    <w:basedOn w:val="jaff9"/>
    <w:rsid w:val="005D4B12"/>
    <w:rPr>
      <w:rFonts w:ascii="Century" w:eastAsia="Century" w:hAnsi="Century" w:cs="Century"/>
    </w:rPr>
  </w:style>
  <w:style w:type="table" w:customStyle="1" w:styleId="1">
    <w:name w:val="表1"/>
    <w:rsid w:val="005D4B12"/>
    <w:tblPr>
      <w:tblInd w:w="340" w:type="dxa"/>
      <w:tblCellMar>
        <w:top w:w="0" w:type="dxa"/>
        <w:left w:w="0" w:type="dxa"/>
        <w:bottom w:w="0" w:type="dxa"/>
        <w:right w:w="0" w:type="dxa"/>
      </w:tblCellMar>
    </w:tblPr>
  </w:style>
  <w:style w:type="numbering" w:customStyle="1" w:styleId="WW8Num1">
    <w:name w:val="WW8Num1"/>
    <w:rsid w:val="005D4B12"/>
    <w:pPr>
      <w:numPr>
        <w:numId w:val="2"/>
      </w:numPr>
    </w:pPr>
  </w:style>
  <w:style w:type="numbering" w:customStyle="1" w:styleId="WW8Num2">
    <w:name w:val="WW8Num2"/>
    <w:rsid w:val="005D4B12"/>
    <w:pPr>
      <w:numPr>
        <w:numId w:val="3"/>
      </w:numPr>
    </w:pPr>
  </w:style>
  <w:style w:type="numbering" w:customStyle="1" w:styleId="WW8Num3">
    <w:name w:val="WW8Num3"/>
    <w:rsid w:val="005D4B12"/>
    <w:pPr>
      <w:numPr>
        <w:numId w:val="4"/>
      </w:numPr>
    </w:pPr>
  </w:style>
  <w:style w:type="numbering" w:customStyle="1" w:styleId="WW8Num4">
    <w:name w:val="WW8Num4"/>
    <w:rsid w:val="005D4B12"/>
    <w:pPr>
      <w:numPr>
        <w:numId w:val="5"/>
      </w:numPr>
    </w:pPr>
  </w:style>
  <w:style w:type="numbering" w:customStyle="1" w:styleId="WW8Num5">
    <w:name w:val="WW8Num5"/>
    <w:rsid w:val="005D4B12"/>
    <w:pPr>
      <w:numPr>
        <w:numId w:val="6"/>
      </w:numPr>
    </w:pPr>
  </w:style>
  <w:style w:type="numbering" w:customStyle="1" w:styleId="WW8Num6">
    <w:name w:val="WW8Num6"/>
    <w:rsid w:val="005D4B12"/>
    <w:pPr>
      <w:numPr>
        <w:numId w:val="7"/>
      </w:numPr>
    </w:pPr>
  </w:style>
  <w:style w:type="numbering" w:customStyle="1" w:styleId="WW8Num7">
    <w:name w:val="WW8Num7"/>
    <w:rsid w:val="005D4B12"/>
    <w:pPr>
      <w:numPr>
        <w:numId w:val="8"/>
      </w:numPr>
    </w:pPr>
  </w:style>
  <w:style w:type="numbering" w:customStyle="1" w:styleId="WW8Num8">
    <w:name w:val="WW8Num8"/>
    <w:rsid w:val="005D4B12"/>
    <w:pPr>
      <w:numPr>
        <w:numId w:val="9"/>
      </w:numPr>
    </w:pPr>
  </w:style>
  <w:style w:type="numbering" w:customStyle="1" w:styleId="WW8Num9">
    <w:name w:val="WW8Num9"/>
    <w:rsid w:val="005D4B12"/>
    <w:pPr>
      <w:numPr>
        <w:numId w:val="10"/>
      </w:numPr>
    </w:pPr>
  </w:style>
  <w:style w:type="numbering" w:customStyle="1" w:styleId="WW8Num10">
    <w:name w:val="WW8Num10"/>
    <w:rsid w:val="005D4B12"/>
    <w:pPr>
      <w:numPr>
        <w:numId w:val="11"/>
      </w:numPr>
    </w:pPr>
  </w:style>
  <w:style w:type="numbering" w:customStyle="1" w:styleId="WW8Num11">
    <w:name w:val="WW8Num11"/>
    <w:rsid w:val="005D4B12"/>
    <w:pPr>
      <w:numPr>
        <w:numId w:val="12"/>
      </w:numPr>
    </w:pPr>
  </w:style>
  <w:style w:type="numbering" w:customStyle="1" w:styleId="WW8Num12">
    <w:name w:val="WW8Num12"/>
    <w:rsid w:val="005D4B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3690</Words>
  <Characters>21038</Characters>
  <Application>Microsoft Office Word</Application>
  <DocSecurity>0</DocSecurity>
  <Lines>175</Lines>
  <Paragraphs>49</Paragraphs>
  <ScaleCrop>false</ScaleCrop>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2025-06-25T04:52:00Z</dcterms:created>
  <dcterms:modified xsi:type="dcterms:W3CDTF">2025-06-25T04:52:00Z</dcterms:modified>
</cp:coreProperties>
</file>