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662EC" w:rsidRDefault="00B74568">
      <w:pPr>
        <w:pStyle w:val="ja"/>
      </w:pPr>
      <w:r>
        <w:t>水銀による環境の汚染の防止に関する法律第二条第二項の要件を定める省令（暫定版）</w:t>
      </w:r>
    </w:p>
    <w:p w:rsidR="00C662EC" w:rsidRDefault="00B74568">
      <w:pPr>
        <w:pStyle w:val="en"/>
      </w:pPr>
      <w:r>
        <w:t>Ministerial Ordinance to Provide Requirements referred to in Article 2, Paragraph (2) of the Act on Preventing Mercury Pollution of the Environment (Tentative translation)</w:t>
      </w:r>
    </w:p>
    <w:p w:rsidR="00C662EC" w:rsidRDefault="00C662EC"/>
    <w:p w:rsidR="00C662EC" w:rsidRDefault="00B74568">
      <w:pPr>
        <w:pStyle w:val="jaf"/>
      </w:pPr>
      <w:r>
        <w:t>（平成二十七年十二月七日経済産業省・環境省令第十号）</w:t>
      </w:r>
    </w:p>
    <w:p w:rsidR="00C662EC" w:rsidRDefault="00B74568">
      <w:pPr>
        <w:pStyle w:val="enf"/>
      </w:pPr>
      <w:r>
        <w:t>(Order of the Ministry of Economy, Trade and Industry, and the Ministry of the Environment No. 10 of December 7, 2015)</w:t>
      </w:r>
    </w:p>
    <w:p w:rsidR="00C662EC" w:rsidRDefault="00C662EC"/>
    <w:p w:rsidR="00C662EC" w:rsidRDefault="00B74568">
      <w:pPr>
        <w:pStyle w:val="jae"/>
      </w:pPr>
      <w:r>
        <w:t>水銀による環境の汚染の防止に関する法律（平成二十七年法律第四十二号）第二条第二項の規定に基づき、水銀による環境の汚染の防止に関する法律第二条第二項の要件を定める省令を次のように定める。</w:t>
      </w:r>
    </w:p>
    <w:p w:rsidR="00C662EC" w:rsidRDefault="00B74568">
      <w:pPr>
        <w:pStyle w:val="ene"/>
      </w:pPr>
      <w:r>
        <w:t>Under the provisions of Article 2, paragraph (2) of the Act on Preventing Mercury Pollution of the Environment (Act No. 42 of 2015), this Ordinance provides the requirements referred to in Article 2, paragraph (2) of the Act on Preventing Mercury Pollution of the Environment.</w:t>
      </w:r>
    </w:p>
    <w:p w:rsidR="00C662EC" w:rsidRDefault="00B74568">
      <w:pPr>
        <w:pStyle w:val="jaf5"/>
      </w:pPr>
      <w:r>
        <w:t>水銀による環境の汚染の防止に関する法律（以下「法」という。）第二条第二項の主務省令で定める要件は、特定有害廃棄物等の輸出入等の規制に関する法律第二条第一項第一号イに規定する物（平成十年環境庁・厚生省・通商産業省告示第一号）別表第三第二十七号に掲げるものに該当するものであることとする。</w:t>
      </w:r>
    </w:p>
    <w:p w:rsidR="00C662EC" w:rsidRDefault="00B74568">
      <w:pPr>
        <w:pStyle w:val="enf5"/>
      </w:pPr>
      <w:r>
        <w:t>The requirements provided by the Ordinance of the competent ministry referred to in Article 2, paragraph (2) of the Act on Preventing Mercury Pollution of the Environment (hereinafter referred to as "the Act") shall fall under those listed in item (27) in the appended table 3 of the public notice, Materials Provided in Article 2, Paragraph (1), Item (i), (a) of the Act on Control of Export, Import and Others of Specified Hazardous Wastes and Other Wastes (Public Notice of the Environment Agency, the Ministr</w:t>
      </w:r>
      <w:r>
        <w:t>y of Health and Welfare, and the Ministry of International Trade and Industry No. 1 of 1998).</w:t>
      </w:r>
    </w:p>
    <w:p w:rsidR="00C662EC" w:rsidRDefault="00C662EC"/>
    <w:p w:rsidR="00C662EC" w:rsidRDefault="00B74568">
      <w:pPr>
        <w:pStyle w:val="ja2"/>
      </w:pPr>
      <w:r>
        <w:t>附　則</w:t>
      </w:r>
    </w:p>
    <w:p w:rsidR="00C662EC" w:rsidRDefault="00B74568">
      <w:pPr>
        <w:pStyle w:val="en2"/>
      </w:pPr>
      <w:r>
        <w:t>Supplementary Provisions</w:t>
      </w:r>
    </w:p>
    <w:p w:rsidR="00C662EC" w:rsidRDefault="00C662EC"/>
    <w:p w:rsidR="00C662EC" w:rsidRDefault="00B74568">
      <w:pPr>
        <w:pStyle w:val="jaf5"/>
      </w:pPr>
      <w:r>
        <w:t>この省令は、法の施行の日から施行する。</w:t>
      </w:r>
    </w:p>
    <w:p w:rsidR="00C662EC" w:rsidRDefault="00B74568">
      <w:pPr>
        <w:pStyle w:val="enf5"/>
      </w:pPr>
      <w:r>
        <w:t>This Ordinance shall come into effect from the date of enforcement of the Act.</w:t>
      </w:r>
    </w:p>
    <w:p w:rsidR="00C662EC" w:rsidRDefault="00B74568">
      <w:pPr>
        <w:pStyle w:val="jaf7"/>
      </w:pPr>
      <w:r>
        <w:t>水銀による環境の汚染の防止に関する法律第二条第二項の主務省令で定める要件は、次に掲げるもの（第二号又は第三号に掲げるものにあっては、特定有害廃棄物等の輸出入等の規制に関する法律に基づく特定有害廃棄物等の範囲等を定める省令（平成三</w:t>
      </w:r>
      <w:r>
        <w:lastRenderedPageBreak/>
        <w:t>十年環境省令第十二号）別表第七の中欄に掲げるいずれの試験においても当該試験の区分に応じ同表の下欄に掲げる性状を示すことがないものを除く。）のいずれかに該当するものであることとする。</w:t>
      </w:r>
    </w:p>
    <w:p w:rsidR="00C662EC" w:rsidRDefault="00B74568">
      <w:pPr>
        <w:pStyle w:val="enf7"/>
      </w:pPr>
      <w:r>
        <w:t>The requirements referred to in Article 2, paragraph (2) of the Act on Preventing Mercury Pollution of the Environment apply to any of the following (for those materials listed in No. 2 and No. 3, excluding those without the characteristics described in the lower box of Appended Table 7 of the Ministerial Ordinance Specifying the Scope of Specified Hazardous Wastes and Other Wastes based on the Act for the Control of Export and Import of Specified Hazardous and Other Wastes (Ministry of Environment Order No</w:t>
      </w:r>
      <w:r>
        <w:t>. 12 of 2018), of the relevant testing classifications of all tests listed in the middle column of the Table).</w:t>
      </w:r>
    </w:p>
    <w:p w:rsidR="00C662EC" w:rsidRDefault="00B74568">
      <w:pPr>
        <w:pStyle w:val="jaf6"/>
      </w:pPr>
      <w:r>
        <w:t>一　水銀、安息香酸第二水銀、塩化エチル水銀、塩化第一水銀、塩化第二水銀、塩化第二水銀アンモニウム、塩化メチル水銀、オキシシアン化第二水銀、オレイン酸第二水銀、グルコン酸第二水銀、酢酸第二水銀、サリチル酸第一水銀、酸化第二水銀、シアン化第二水銀、シアン化第二水銀カリウム、ジエチル水銀、ジメチル水銀、臭化第二水銀、硝酸第一水銀、硝酸第二水銀、水酸化フェニル水銀、チオシアン酸第二水銀、砒（ひ）酸第二水銀、よう化第二水銀、よう化第二水銀カリウム、雷こう、硫化第二水銀、硫酸第一水銀又は硫酸第二水銀を〇・一重量パーセント以上含む物</w:t>
      </w:r>
    </w:p>
    <w:p w:rsidR="00C662EC" w:rsidRDefault="00B74568">
      <w:pPr>
        <w:pStyle w:val="enf6"/>
      </w:pPr>
      <w:r>
        <w:t>(i) Substances containing 0.1% by weight of mercury, Mercury benzoate, Ethyl mercury chloride, Mercury(I) chloride, Mercuric chloride (HgCl2), Mercuric ammonium chloride, Methylmercury chloride, Dimercury(II) cyanide oxide, Mercury oleate, Mercury gluconate, Mercury (II) acetate, Mercuryous salicylate, Mercury (II) oxide, Mercury(II) cyanide, Diethylmercury, Dimethylmercury, Mercury(II) bromide, Mercurous nitrate, Mercuric nitrate, Phenylmercuric hydroxide, Mercury(II) thiocyanate, Mercury arsenate, Mercury</w:t>
      </w:r>
      <w:r>
        <w:t>(II) iodide, Mercuric iodide, Mercury fulminate, Mercuric sulfide, Mercurous sulfate or Mercuric sulfate</w:t>
      </w:r>
    </w:p>
    <w:p w:rsidR="00C662EC" w:rsidRDefault="00B74568">
      <w:pPr>
        <w:pStyle w:val="jaf6"/>
      </w:pPr>
      <w:r>
        <w:t>二　核酸水銀、酢酸第一水銀、酢酸フェニル水銀、硝酸フェニル水銀又はチメロサールを一重量パーセント以上含む物</w:t>
      </w:r>
    </w:p>
    <w:p w:rsidR="00C662EC" w:rsidRDefault="00B74568">
      <w:pPr>
        <w:pStyle w:val="enf6"/>
      </w:pPr>
      <w:r>
        <w:t>(ii) Substances containing 1% by weight of Mercury nucleate, Mercurous acetate, Phenylmercuric acetate, Phenylmercuric nitrate or Thiomersal</w:t>
      </w:r>
    </w:p>
    <w:p w:rsidR="00C662EC" w:rsidRDefault="00B74568">
      <w:pPr>
        <w:pStyle w:val="jaf6"/>
      </w:pPr>
      <w:r>
        <w:t>三　前二号に掲げる水銀化合物以外の水銀化合物を含む物</w:t>
      </w:r>
    </w:p>
    <w:p w:rsidR="00C662EC" w:rsidRDefault="00B74568">
      <w:pPr>
        <w:pStyle w:val="enf6"/>
      </w:pPr>
      <w:r>
        <w:t>(iii) Substances containing mercury other than those listed in "2" above</w:t>
      </w:r>
    </w:p>
    <w:p w:rsidR="00C662EC" w:rsidRDefault="00B74568">
      <w:pPr>
        <w:pStyle w:val="jaf6"/>
      </w:pPr>
      <w:r>
        <w:t>四　有害廃棄物の国境を越える移動及びその処分の規制に関するバーゼル条約附属書</w:t>
      </w:r>
      <w:r>
        <w:t>ⅠⅤ</w:t>
      </w:r>
      <w:r>
        <w:t>ＡのＤ１からＤ４まで又は</w:t>
      </w:r>
      <w:r>
        <w:t>ⅠⅤ</w:t>
      </w:r>
      <w:r>
        <w:t>ＢのＲ１０に掲げる処分作業を行うために輸出され、又は輸入される物であって次に掲げるもの</w:t>
      </w:r>
    </w:p>
    <w:p w:rsidR="00C662EC" w:rsidRDefault="00B74568">
      <w:pPr>
        <w:pStyle w:val="enf6"/>
      </w:pPr>
      <w:r>
        <w:t>(iv) Any materials to be exported or imported for the disposal operations listed from D1 to D4 in Annex IV A and R10 of Annex IV B of the Basel Convention on the Control of Transboundary Movements of Hazardous Wastes and their Disposal, as follows:</w:t>
      </w:r>
    </w:p>
    <w:p w:rsidR="00C662EC" w:rsidRDefault="00B74568">
      <w:pPr>
        <w:pStyle w:val="jaf9"/>
      </w:pPr>
      <w:r>
        <w:lastRenderedPageBreak/>
        <w:t>イ　固形状であって、平成三年環境庁告示第四十六号（土壌の汚染に係る環境基準について）別表の環境上の条件（総水銀又はアルキル水銀に係るものに限る。）に適合しない物</w:t>
      </w:r>
    </w:p>
    <w:p w:rsidR="00C662EC" w:rsidRDefault="00B74568">
      <w:pPr>
        <w:pStyle w:val="enf9"/>
      </w:pPr>
      <w:r>
        <w:t>(a) Materials in solid form, that do not conform to the environmental conditions (limited to those related to total mercury or alkyl mercury) in the Appendix to the Environment Agency Notification No. 46, 1991 (Environmental Standards for Soil Contamination).</w:t>
      </w:r>
    </w:p>
    <w:p w:rsidR="00C662EC" w:rsidRDefault="00B74568">
      <w:pPr>
        <w:pStyle w:val="jaf9"/>
      </w:pPr>
      <w:r>
        <w:t>ロ　液状であって、水質汚濁防止法施行規則（昭和四十六年総理府・通商産業省令第二号）第六条の二に規定する要件（水銀及びアルキル水銀その他の水銀化合物又はアルキル水銀化合物に係るものに限る。）に該当する物</w:t>
      </w:r>
    </w:p>
    <w:p w:rsidR="00C662EC" w:rsidRDefault="00B74568">
      <w:pPr>
        <w:pStyle w:val="enf9"/>
      </w:pPr>
      <w:r>
        <w:t>(b) Materials in liquid form, to which the requirements stipulated by Article 6 (2) of Water Pollution Control Law Enforcement Regulations (Ministerial Ordinance of the Prime Minister's Office and the Ministry of International Trade and Industry No. 2, 1971) (limited to mercury and alkyl mercury as well as other substances containing mercury and alkyl mercury) are applicable.</w:t>
      </w:r>
    </w:p>
    <w:p w:rsidR="00C662EC" w:rsidRDefault="00B74568">
      <w:pPr>
        <w:pStyle w:val="jaf6"/>
      </w:pPr>
      <w:r>
        <w:t>五　前号に掲げる処分作業以外の処分作業を行うために輸出され、又は輸入される物であって次に掲げるもの</w:t>
      </w:r>
    </w:p>
    <w:p w:rsidR="00C662EC" w:rsidRDefault="00B74568">
      <w:pPr>
        <w:pStyle w:val="enf6"/>
      </w:pPr>
      <w:r>
        <w:t>(v) Materials that are exported or imported for the purpose of disposal other than the disposal processes listed in the preceding item, and that are listed below.</w:t>
      </w:r>
    </w:p>
    <w:p w:rsidR="00C662EC" w:rsidRDefault="00B74568">
      <w:pPr>
        <w:pStyle w:val="jaf9"/>
      </w:pPr>
      <w:r>
        <w:t>イ　固形状であって、金属等を含む産業廃棄物に係る判定基準を定める省令（昭和四十八年総理府令第五号）別表第三に掲げる基準（アルキル水銀化合物及び水銀又はその化合物に係るものに限る。）に適合しない物</w:t>
      </w:r>
    </w:p>
    <w:p w:rsidR="00C662EC" w:rsidRDefault="00B74568">
      <w:pPr>
        <w:pStyle w:val="enf9"/>
      </w:pPr>
      <w:r>
        <w:t>(a) Materials in solid form, that do not comply with the standard listed in Appended Table 3 of the Ministerial Ordinance on Standards for Verification Concerning Industrial Wastes containing Metals, etc. (Ministerial Ordinance of the Prime Minister's Office No. 5, 1972) (limited to mercury and alkyl mercury as well as other substances containing mercury and alkyl mercury).</w:t>
      </w:r>
    </w:p>
    <w:p w:rsidR="00C662EC" w:rsidRDefault="00B74568">
      <w:pPr>
        <w:pStyle w:val="jaf9"/>
      </w:pPr>
      <w:r>
        <w:t>ロ　液状であって、排水基準を定める省令（昭和四十六年総理府令第三十五号）別表第一に掲げる基準（水銀及びアルキル水銀その他の水銀化合物並びにアルキル水銀化合物に係るものに限る。）に適合しない物</w:t>
      </w:r>
    </w:p>
    <w:p w:rsidR="00C662EC" w:rsidRDefault="00B74568">
      <w:pPr>
        <w:pStyle w:val="enf9"/>
      </w:pPr>
      <w:r>
        <w:t>(b) Materials in liquid form, that do not meet the standards stipulated by Appended Table 1 of the Ordinance of the Prime Minister's Office on Effluent Standards No. 35, 1971 (limited to mercury and alkyl mercury as well as other substances containing mercury and alkyl mercury).</w:t>
      </w:r>
    </w:p>
    <w:p w:rsidR="00C662EC" w:rsidRDefault="00C662EC"/>
    <w:p w:rsidR="00C662EC" w:rsidRDefault="00B74568">
      <w:pPr>
        <w:pStyle w:val="ja2"/>
      </w:pPr>
      <w:r>
        <w:t>附　則</w:t>
      </w:r>
    </w:p>
    <w:p w:rsidR="00C662EC" w:rsidRDefault="00B74568">
      <w:pPr>
        <w:pStyle w:val="en2"/>
      </w:pPr>
      <w:r>
        <w:t>Supplementary Provisions</w:t>
      </w:r>
    </w:p>
    <w:p w:rsidR="00C662EC" w:rsidRDefault="00C662EC"/>
    <w:p w:rsidR="00C662EC" w:rsidRDefault="00B74568">
      <w:pPr>
        <w:pStyle w:val="jaf5"/>
      </w:pPr>
      <w:r>
        <w:t>この省令は、法の施行の日から施行する。</w:t>
      </w:r>
    </w:p>
    <w:p w:rsidR="00C662EC" w:rsidRDefault="00B74568">
      <w:pPr>
        <w:pStyle w:val="enf5"/>
      </w:pPr>
      <w:r>
        <w:t>This Ordinance shall comes into effect on the date of enforcement of the Act.</w:t>
      </w:r>
    </w:p>
    <w:p w:rsidR="00C662EC" w:rsidRDefault="00C662EC"/>
    <w:p w:rsidR="00C662EC" w:rsidRDefault="00B74568">
      <w:pPr>
        <w:pStyle w:val="ja2"/>
      </w:pPr>
      <w:r>
        <w:t>附　則　〔平成三十年十月一日経済産業省・環境省令第六号〕</w:t>
      </w:r>
    </w:p>
    <w:p w:rsidR="00C662EC" w:rsidRDefault="00B74568">
      <w:pPr>
        <w:pStyle w:val="en2"/>
      </w:pPr>
      <w:r>
        <w:t>Supplementary Provisions  [Ministerial Ordinance of the Ministry of Economy, Trade and Industry and the Ministry of the Environment No. 6, October 1, 2018]</w:t>
      </w:r>
    </w:p>
    <w:p w:rsidR="00C662EC" w:rsidRDefault="00C662EC"/>
    <w:p w:rsidR="00C662EC" w:rsidRDefault="00B74568">
      <w:pPr>
        <w:pStyle w:val="jaf5"/>
      </w:pPr>
      <w:r>
        <w:t>この省令は、平成三十年十月一日から施行する。</w:t>
      </w:r>
    </w:p>
    <w:p w:rsidR="00C662EC" w:rsidRDefault="00B74568">
      <w:pPr>
        <w:pStyle w:val="enf5"/>
      </w:pPr>
      <w:r>
        <w:t>This Ordinance shall comes into effect on October 1, 2018.</w:t>
      </w:r>
    </w:p>
    <w:sectPr w:rsidR="00C662EC" w:rsidSect="00C662E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662EC" w:rsidRDefault="00C662EC" w:rsidP="00C662EC">
      <w:r>
        <w:separator/>
      </w:r>
    </w:p>
  </w:endnote>
  <w:endnote w:type="continuationSeparator" w:id="0">
    <w:p w:rsidR="00C662EC" w:rsidRDefault="00C662EC" w:rsidP="00C66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62EC" w:rsidRDefault="00C662EC">
    <w:pPr>
      <w:pStyle w:val="a3"/>
    </w:pPr>
    <w:r>
      <w:fldChar w:fldCharType="begin"/>
    </w:r>
    <w:r>
      <w:instrText xml:space="preserve"> PAGE  \* MERGEFORMAT </w:instrText>
    </w:r>
    <w:r>
      <w:fldChar w:fldCharType="separate"/>
    </w:r>
    <w:r w:rsidR="00B7456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662EC" w:rsidRDefault="00C662EC" w:rsidP="00C662EC">
      <w:r>
        <w:separator/>
      </w:r>
    </w:p>
  </w:footnote>
  <w:footnote w:type="continuationSeparator" w:id="0">
    <w:p w:rsidR="00C662EC" w:rsidRDefault="00C662EC" w:rsidP="00C66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9460B"/>
    <w:multiLevelType w:val="multilevel"/>
    <w:tmpl w:val="C8D2DA4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C97B87"/>
    <w:multiLevelType w:val="multilevel"/>
    <w:tmpl w:val="7256E0B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38B3839"/>
    <w:multiLevelType w:val="multilevel"/>
    <w:tmpl w:val="6920581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6025C3A"/>
    <w:multiLevelType w:val="multilevel"/>
    <w:tmpl w:val="CEECC0F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C939BE"/>
    <w:multiLevelType w:val="multilevel"/>
    <w:tmpl w:val="0108D83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1B0E55"/>
    <w:multiLevelType w:val="multilevel"/>
    <w:tmpl w:val="E5D0D8E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6938A7"/>
    <w:multiLevelType w:val="multilevel"/>
    <w:tmpl w:val="209A1DF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8B6D09"/>
    <w:multiLevelType w:val="multilevel"/>
    <w:tmpl w:val="823A8CF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F562AA"/>
    <w:multiLevelType w:val="multilevel"/>
    <w:tmpl w:val="C10C5E0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FE736A"/>
    <w:multiLevelType w:val="multilevel"/>
    <w:tmpl w:val="1A60474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CA3675"/>
    <w:multiLevelType w:val="multilevel"/>
    <w:tmpl w:val="E8D853E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F10745"/>
    <w:multiLevelType w:val="multilevel"/>
    <w:tmpl w:val="47F2965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EF4369"/>
    <w:multiLevelType w:val="multilevel"/>
    <w:tmpl w:val="A3B8542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14307385">
    <w:abstractNumId w:val="1"/>
  </w:num>
  <w:num w:numId="2" w16cid:durableId="1187251060">
    <w:abstractNumId w:val="0"/>
  </w:num>
  <w:num w:numId="3" w16cid:durableId="1683971914">
    <w:abstractNumId w:val="5"/>
  </w:num>
  <w:num w:numId="4" w16cid:durableId="493839860">
    <w:abstractNumId w:val="8"/>
  </w:num>
  <w:num w:numId="5" w16cid:durableId="736171291">
    <w:abstractNumId w:val="7"/>
  </w:num>
  <w:num w:numId="6" w16cid:durableId="796803181">
    <w:abstractNumId w:val="11"/>
  </w:num>
  <w:num w:numId="7" w16cid:durableId="1680498998">
    <w:abstractNumId w:val="12"/>
  </w:num>
  <w:num w:numId="8" w16cid:durableId="958685461">
    <w:abstractNumId w:val="3"/>
  </w:num>
  <w:num w:numId="9" w16cid:durableId="1396389361">
    <w:abstractNumId w:val="4"/>
  </w:num>
  <w:num w:numId="10" w16cid:durableId="138156461">
    <w:abstractNumId w:val="9"/>
  </w:num>
  <w:num w:numId="11" w16cid:durableId="588739231">
    <w:abstractNumId w:val="6"/>
  </w:num>
  <w:num w:numId="12" w16cid:durableId="1077090953">
    <w:abstractNumId w:val="2"/>
  </w:num>
  <w:num w:numId="13" w16cid:durableId="11073132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662EC"/>
    <w:rsid w:val="009D6759"/>
    <w:rsid w:val="00B74568"/>
    <w:rsid w:val="00C662E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2E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662E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662EC"/>
    <w:rPr>
      <w:rFonts w:ascii="Century" w:eastAsia="Century" w:hAnsi="Century"/>
    </w:rPr>
  </w:style>
  <w:style w:type="paragraph" w:customStyle="1" w:styleId="ja0">
    <w:name w:val="款（ja）"/>
    <w:basedOn w:val="a"/>
    <w:rsid w:val="00C662EC"/>
    <w:pPr>
      <w:widowControl w:val="0"/>
      <w:ind w:left="1321" w:hanging="221"/>
    </w:pPr>
    <w:rPr>
      <w:rFonts w:ascii="ＭＳ 明朝" w:eastAsia="ＭＳ 明朝" w:hAnsi="ＭＳ 明朝" w:cs="ＭＳ 明朝"/>
      <w:b/>
    </w:rPr>
  </w:style>
  <w:style w:type="paragraph" w:customStyle="1" w:styleId="en0">
    <w:name w:val="款（en）"/>
    <w:basedOn w:val="ja0"/>
    <w:rsid w:val="00C662EC"/>
    <w:rPr>
      <w:rFonts w:ascii="Century" w:eastAsia="Century" w:hAnsi="Century" w:cs="Century"/>
    </w:rPr>
  </w:style>
  <w:style w:type="paragraph" w:customStyle="1" w:styleId="ja1">
    <w:name w:val="前文（ja）"/>
    <w:basedOn w:val="a"/>
    <w:rsid w:val="00C662EC"/>
    <w:pPr>
      <w:widowControl w:val="0"/>
      <w:ind w:firstLine="219"/>
    </w:pPr>
    <w:rPr>
      <w:rFonts w:ascii="ＭＳ 明朝" w:eastAsia="ＭＳ 明朝" w:hAnsi="ＭＳ 明朝" w:cs="ＭＳ 明朝"/>
    </w:rPr>
  </w:style>
  <w:style w:type="paragraph" w:customStyle="1" w:styleId="en1">
    <w:name w:val="前文（en）"/>
    <w:basedOn w:val="ja1"/>
    <w:rsid w:val="00C662EC"/>
    <w:rPr>
      <w:rFonts w:ascii="Century" w:eastAsia="Century" w:hAnsi="Century" w:cs="Century"/>
    </w:rPr>
  </w:style>
  <w:style w:type="paragraph" w:customStyle="1" w:styleId="ja2">
    <w:name w:val="附則（ja）"/>
    <w:basedOn w:val="a"/>
    <w:rsid w:val="00C662EC"/>
    <w:pPr>
      <w:widowControl w:val="0"/>
      <w:ind w:left="881" w:hanging="221"/>
    </w:pPr>
    <w:rPr>
      <w:rFonts w:ascii="ＭＳ 明朝" w:eastAsia="ＭＳ 明朝" w:hAnsi="ＭＳ 明朝" w:cs="ＭＳ 明朝"/>
      <w:b/>
    </w:rPr>
  </w:style>
  <w:style w:type="paragraph" w:customStyle="1" w:styleId="en2">
    <w:name w:val="附則（en）"/>
    <w:basedOn w:val="ja2"/>
    <w:rsid w:val="00C662EC"/>
    <w:rPr>
      <w:rFonts w:ascii="Century" w:hAnsi="Century" w:cs="Century"/>
    </w:rPr>
  </w:style>
  <w:style w:type="paragraph" w:customStyle="1" w:styleId="ja3">
    <w:name w:val="章（ja）"/>
    <w:basedOn w:val="a"/>
    <w:rsid w:val="00C662EC"/>
    <w:pPr>
      <w:widowControl w:val="0"/>
      <w:ind w:left="881" w:hanging="221"/>
    </w:pPr>
    <w:rPr>
      <w:rFonts w:ascii="ＭＳ 明朝" w:eastAsia="ＭＳ 明朝" w:hAnsi="ＭＳ 明朝" w:cs="ＭＳ 明朝"/>
      <w:b/>
    </w:rPr>
  </w:style>
  <w:style w:type="paragraph" w:customStyle="1" w:styleId="en3">
    <w:name w:val="章（en）"/>
    <w:basedOn w:val="ja3"/>
    <w:rsid w:val="00C662EC"/>
    <w:rPr>
      <w:rFonts w:ascii="Century" w:eastAsia="Century" w:hAnsi="Century" w:cs="Century"/>
    </w:rPr>
  </w:style>
  <w:style w:type="paragraph" w:customStyle="1" w:styleId="ja4">
    <w:name w:val="目次編（ja）"/>
    <w:basedOn w:val="a"/>
    <w:rsid w:val="00C662EC"/>
    <w:pPr>
      <w:widowControl w:val="0"/>
      <w:ind w:left="219" w:hanging="219"/>
    </w:pPr>
    <w:rPr>
      <w:rFonts w:ascii="ＭＳ 明朝" w:eastAsia="ＭＳ 明朝" w:hAnsi="ＭＳ 明朝"/>
    </w:rPr>
  </w:style>
  <w:style w:type="paragraph" w:customStyle="1" w:styleId="en4">
    <w:name w:val="目次編（en）"/>
    <w:basedOn w:val="ja4"/>
    <w:rsid w:val="00C662EC"/>
    <w:rPr>
      <w:rFonts w:ascii="Century" w:eastAsia="Century" w:hAnsi="Century"/>
    </w:rPr>
  </w:style>
  <w:style w:type="paragraph" w:customStyle="1" w:styleId="ja5">
    <w:name w:val="目次章（ja）"/>
    <w:basedOn w:val="a"/>
    <w:rsid w:val="00C662EC"/>
    <w:pPr>
      <w:widowControl w:val="0"/>
      <w:ind w:left="439" w:hanging="219"/>
    </w:pPr>
    <w:rPr>
      <w:rFonts w:ascii="ＭＳ 明朝" w:eastAsia="ＭＳ 明朝" w:hAnsi="ＭＳ 明朝"/>
    </w:rPr>
  </w:style>
  <w:style w:type="paragraph" w:customStyle="1" w:styleId="en5">
    <w:name w:val="目次章（en）"/>
    <w:basedOn w:val="ja5"/>
    <w:rsid w:val="00C662EC"/>
    <w:rPr>
      <w:rFonts w:ascii="Century" w:eastAsia="Century" w:hAnsi="Century"/>
    </w:rPr>
  </w:style>
  <w:style w:type="paragraph" w:customStyle="1" w:styleId="ja6">
    <w:name w:val="目次節（ja）"/>
    <w:basedOn w:val="a"/>
    <w:rsid w:val="00C662EC"/>
    <w:pPr>
      <w:widowControl w:val="0"/>
      <w:ind w:left="659" w:hanging="219"/>
    </w:pPr>
    <w:rPr>
      <w:rFonts w:ascii="ＭＳ 明朝" w:eastAsia="ＭＳ 明朝" w:hAnsi="ＭＳ 明朝"/>
    </w:rPr>
  </w:style>
  <w:style w:type="paragraph" w:customStyle="1" w:styleId="en6">
    <w:name w:val="目次節（en）"/>
    <w:basedOn w:val="ja6"/>
    <w:rsid w:val="00C662EC"/>
    <w:rPr>
      <w:rFonts w:ascii="Century" w:eastAsia="Century" w:hAnsi="Century"/>
    </w:rPr>
  </w:style>
  <w:style w:type="paragraph" w:customStyle="1" w:styleId="ja7">
    <w:name w:val="目次款（ja）"/>
    <w:basedOn w:val="a"/>
    <w:rsid w:val="00C662EC"/>
    <w:pPr>
      <w:widowControl w:val="0"/>
      <w:ind w:left="879" w:hanging="219"/>
    </w:pPr>
    <w:rPr>
      <w:rFonts w:ascii="ＭＳ 明朝" w:eastAsia="ＭＳ 明朝" w:hAnsi="ＭＳ 明朝" w:cs="Kochi Mincho"/>
    </w:rPr>
  </w:style>
  <w:style w:type="paragraph" w:customStyle="1" w:styleId="en7">
    <w:name w:val="目次款（en）"/>
    <w:basedOn w:val="ja7"/>
    <w:rsid w:val="00C662EC"/>
    <w:rPr>
      <w:rFonts w:ascii="Century" w:eastAsia="Century" w:hAnsi="Century"/>
    </w:rPr>
  </w:style>
  <w:style w:type="paragraph" w:customStyle="1" w:styleId="ja8">
    <w:name w:val="別表名（ja）"/>
    <w:basedOn w:val="a"/>
    <w:rsid w:val="00C662EC"/>
    <w:pPr>
      <w:widowControl w:val="0"/>
      <w:ind w:left="100" w:hangingChars="100" w:hanging="100"/>
    </w:pPr>
    <w:rPr>
      <w:rFonts w:ascii="ＭＳ 明朝" w:eastAsia="ＭＳ 明朝" w:hAnsi="ＭＳ 明朝" w:cs="ＭＳ 明朝"/>
    </w:rPr>
  </w:style>
  <w:style w:type="paragraph" w:customStyle="1" w:styleId="en8">
    <w:name w:val="別表名（en）"/>
    <w:basedOn w:val="ja8"/>
    <w:rsid w:val="00C662EC"/>
    <w:rPr>
      <w:rFonts w:ascii="Century" w:eastAsia="Century" w:hAnsi="Century" w:cs="Century"/>
    </w:rPr>
  </w:style>
  <w:style w:type="paragraph" w:customStyle="1" w:styleId="ja9">
    <w:name w:val="目（ja）"/>
    <w:basedOn w:val="a"/>
    <w:rsid w:val="00C662EC"/>
    <w:pPr>
      <w:widowControl w:val="0"/>
      <w:ind w:left="1541" w:hanging="221"/>
    </w:pPr>
    <w:rPr>
      <w:rFonts w:ascii="ＭＳ 明朝" w:eastAsia="ＭＳ 明朝" w:hAnsi="ＭＳ 明朝" w:cs="ＭＳ 明朝"/>
      <w:b/>
    </w:rPr>
  </w:style>
  <w:style w:type="paragraph" w:customStyle="1" w:styleId="en9">
    <w:name w:val="目（en）"/>
    <w:basedOn w:val="ja9"/>
    <w:rsid w:val="00C662EC"/>
    <w:rPr>
      <w:rFonts w:ascii="Century" w:eastAsia="Century" w:hAnsi="Century" w:cs="Century"/>
    </w:rPr>
  </w:style>
  <w:style w:type="paragraph" w:customStyle="1" w:styleId="jaa">
    <w:name w:val="見出し（ja）"/>
    <w:basedOn w:val="a"/>
    <w:rsid w:val="00C662EC"/>
    <w:pPr>
      <w:widowControl w:val="0"/>
      <w:ind w:left="439" w:hanging="219"/>
    </w:pPr>
    <w:rPr>
      <w:rFonts w:ascii="ＭＳ 明朝" w:eastAsia="ＭＳ 明朝" w:hAnsi="ＭＳ 明朝" w:cs="ＭＳ 明朝"/>
    </w:rPr>
  </w:style>
  <w:style w:type="paragraph" w:customStyle="1" w:styleId="ena">
    <w:name w:val="見出し（en）"/>
    <w:basedOn w:val="jaa"/>
    <w:rsid w:val="00C662EC"/>
    <w:rPr>
      <w:rFonts w:ascii="Century" w:eastAsia="Century" w:hAnsi="Century" w:cs="Century"/>
    </w:rPr>
  </w:style>
  <w:style w:type="paragraph" w:styleId="a3">
    <w:name w:val="footer"/>
    <w:basedOn w:val="a"/>
    <w:rsid w:val="00C662E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662EC"/>
    <w:pPr>
      <w:widowControl w:val="0"/>
      <w:ind w:left="1099" w:hanging="219"/>
    </w:pPr>
    <w:rPr>
      <w:rFonts w:ascii="ＭＳ 明朝" w:eastAsia="ＭＳ 明朝" w:hAnsi="ＭＳ 明朝" w:cs="Kochi Mincho"/>
    </w:rPr>
  </w:style>
  <w:style w:type="paragraph" w:customStyle="1" w:styleId="enb">
    <w:name w:val="目次目（en）"/>
    <w:basedOn w:val="jab"/>
    <w:rsid w:val="00C662EC"/>
    <w:rPr>
      <w:rFonts w:ascii="Century" w:eastAsia="Century" w:hAnsi="Century"/>
    </w:rPr>
  </w:style>
  <w:style w:type="paragraph" w:customStyle="1" w:styleId="jac">
    <w:name w:val="目次附則（ja）"/>
    <w:basedOn w:val="a"/>
    <w:rsid w:val="00C662EC"/>
    <w:pPr>
      <w:widowControl w:val="0"/>
      <w:ind w:left="439" w:hanging="219"/>
    </w:pPr>
    <w:rPr>
      <w:rFonts w:ascii="ＭＳ 明朝" w:eastAsia="ＭＳ 明朝" w:hAnsi="ＭＳ 明朝" w:cs="Kochi Mincho"/>
    </w:rPr>
  </w:style>
  <w:style w:type="paragraph" w:customStyle="1" w:styleId="enc">
    <w:name w:val="目次附則（en）"/>
    <w:basedOn w:val="jac"/>
    <w:rsid w:val="00C662EC"/>
    <w:rPr>
      <w:rFonts w:ascii="Century" w:eastAsia="Century" w:hAnsi="Century" w:cs="Century"/>
    </w:rPr>
  </w:style>
  <w:style w:type="paragraph" w:customStyle="1" w:styleId="jad">
    <w:name w:val="目次前文（ja）"/>
    <w:basedOn w:val="jac"/>
    <w:rsid w:val="00C662EC"/>
  </w:style>
  <w:style w:type="paragraph" w:customStyle="1" w:styleId="end">
    <w:name w:val="目次前文（en）"/>
    <w:basedOn w:val="enc"/>
    <w:rsid w:val="00C662EC"/>
  </w:style>
  <w:style w:type="paragraph" w:customStyle="1" w:styleId="jae">
    <w:name w:val="制定文（ja）"/>
    <w:basedOn w:val="a"/>
    <w:rsid w:val="00C662EC"/>
    <w:pPr>
      <w:widowControl w:val="0"/>
      <w:ind w:firstLine="219"/>
    </w:pPr>
    <w:rPr>
      <w:rFonts w:ascii="ＭＳ 明朝" w:eastAsia="ＭＳ 明朝" w:hAnsi="ＭＳ 明朝" w:cs="ＭＳ 明朝"/>
    </w:rPr>
  </w:style>
  <w:style w:type="paragraph" w:customStyle="1" w:styleId="ene">
    <w:name w:val="制定文（en）"/>
    <w:basedOn w:val="jae"/>
    <w:rsid w:val="00C662EC"/>
    <w:rPr>
      <w:rFonts w:ascii="Century" w:eastAsia="Century" w:hAnsi="Century" w:cs="Century"/>
    </w:rPr>
  </w:style>
  <w:style w:type="paragraph" w:customStyle="1" w:styleId="jaf">
    <w:name w:val="法令番号（ja）"/>
    <w:basedOn w:val="a"/>
    <w:rsid w:val="00C662EC"/>
    <w:pPr>
      <w:widowControl w:val="0"/>
      <w:jc w:val="right"/>
    </w:pPr>
    <w:rPr>
      <w:rFonts w:ascii="ＭＳ 明朝" w:eastAsia="ＭＳ 明朝" w:hAnsi="ＭＳ 明朝" w:cs="Kochi Mincho"/>
    </w:rPr>
  </w:style>
  <w:style w:type="paragraph" w:customStyle="1" w:styleId="enf">
    <w:name w:val="法令番号（en）"/>
    <w:basedOn w:val="jaf"/>
    <w:rsid w:val="00C662EC"/>
    <w:rPr>
      <w:rFonts w:ascii="Century" w:eastAsia="Century" w:hAnsi="Century" w:cs="Century"/>
    </w:rPr>
  </w:style>
  <w:style w:type="paragraph" w:customStyle="1" w:styleId="jaf0">
    <w:name w:val="目次（ja）"/>
    <w:basedOn w:val="a"/>
    <w:rsid w:val="00C662EC"/>
    <w:rPr>
      <w:rFonts w:ascii="ＭＳ 明朝" w:eastAsia="ＭＳ 明朝" w:hAnsi="ＭＳ 明朝"/>
    </w:rPr>
  </w:style>
  <w:style w:type="paragraph" w:customStyle="1" w:styleId="enf0">
    <w:name w:val="目次（en）"/>
    <w:basedOn w:val="jaf0"/>
    <w:rsid w:val="00C662EC"/>
    <w:rPr>
      <w:rFonts w:ascii="Century" w:eastAsia="Century" w:hAnsi="Century"/>
    </w:rPr>
  </w:style>
  <w:style w:type="paragraph" w:customStyle="1" w:styleId="jaf1">
    <w:name w:val="編（ja）"/>
    <w:basedOn w:val="a"/>
    <w:rsid w:val="00C662EC"/>
    <w:pPr>
      <w:widowControl w:val="0"/>
      <w:ind w:left="661" w:hanging="221"/>
    </w:pPr>
    <w:rPr>
      <w:rFonts w:ascii="ＭＳ 明朝" w:eastAsia="ＭＳ 明朝" w:hAnsi="ＭＳ 明朝" w:cs="ＭＳ 明朝"/>
      <w:b/>
    </w:rPr>
  </w:style>
  <w:style w:type="paragraph" w:customStyle="1" w:styleId="enf1">
    <w:name w:val="編（en）"/>
    <w:basedOn w:val="jaf1"/>
    <w:rsid w:val="00C662EC"/>
    <w:rPr>
      <w:rFonts w:ascii="Century" w:eastAsia="Century" w:hAnsi="Century" w:cs="Century"/>
    </w:rPr>
  </w:style>
  <w:style w:type="paragraph" w:customStyle="1" w:styleId="jaf2">
    <w:name w:val="節（ja）"/>
    <w:basedOn w:val="a"/>
    <w:rsid w:val="00C662EC"/>
    <w:pPr>
      <w:widowControl w:val="0"/>
      <w:ind w:left="1101" w:hanging="221"/>
    </w:pPr>
    <w:rPr>
      <w:rFonts w:ascii="ＭＳ 明朝" w:eastAsia="ＭＳ 明朝" w:hAnsi="ＭＳ 明朝" w:cs="ＭＳ 明朝"/>
      <w:b/>
    </w:rPr>
  </w:style>
  <w:style w:type="paragraph" w:customStyle="1" w:styleId="enf2">
    <w:name w:val="節（en）"/>
    <w:basedOn w:val="jaf2"/>
    <w:rsid w:val="00C662EC"/>
    <w:rPr>
      <w:rFonts w:ascii="Century" w:eastAsia="Century" w:hAnsi="Century" w:cs="Century"/>
    </w:rPr>
  </w:style>
  <w:style w:type="paragraph" w:customStyle="1" w:styleId="jaf3">
    <w:name w:val="条（ja）"/>
    <w:basedOn w:val="a"/>
    <w:rsid w:val="00C662EC"/>
    <w:pPr>
      <w:widowControl w:val="0"/>
      <w:ind w:left="219" w:hanging="219"/>
    </w:pPr>
    <w:rPr>
      <w:rFonts w:ascii="ＭＳ 明朝" w:eastAsia="ＭＳ 明朝" w:hAnsi="ＭＳ 明朝" w:cs="ＭＳ 明朝"/>
    </w:rPr>
  </w:style>
  <w:style w:type="paragraph" w:customStyle="1" w:styleId="enf3">
    <w:name w:val="条（en）"/>
    <w:basedOn w:val="jaf3"/>
    <w:rsid w:val="00C662EC"/>
    <w:rPr>
      <w:rFonts w:ascii="Century" w:eastAsia="Century" w:hAnsi="Century" w:cs="Century"/>
    </w:rPr>
  </w:style>
  <w:style w:type="paragraph" w:customStyle="1" w:styleId="jaf4">
    <w:name w:val="項（ja）"/>
    <w:basedOn w:val="a"/>
    <w:rsid w:val="00C662EC"/>
    <w:pPr>
      <w:widowControl w:val="0"/>
      <w:ind w:left="219" w:hanging="219"/>
    </w:pPr>
    <w:rPr>
      <w:rFonts w:ascii="ＭＳ 明朝" w:eastAsia="ＭＳ 明朝" w:hAnsi="ＭＳ 明朝" w:cs="ＭＳ 明朝"/>
    </w:rPr>
  </w:style>
  <w:style w:type="paragraph" w:customStyle="1" w:styleId="enf4">
    <w:name w:val="項（en）"/>
    <w:basedOn w:val="jaf4"/>
    <w:rsid w:val="00C662EC"/>
    <w:rPr>
      <w:rFonts w:ascii="Century" w:eastAsia="Century" w:hAnsi="Century" w:cs="Century"/>
    </w:rPr>
  </w:style>
  <w:style w:type="paragraph" w:customStyle="1" w:styleId="jaf5">
    <w:name w:val="項　番号なし（ja）"/>
    <w:basedOn w:val="a"/>
    <w:rsid w:val="00C662EC"/>
    <w:pPr>
      <w:widowControl w:val="0"/>
      <w:ind w:firstLine="221"/>
    </w:pPr>
    <w:rPr>
      <w:rFonts w:ascii="ＭＳ 明朝" w:eastAsia="ＭＳ 明朝" w:hAnsi="ＭＳ 明朝" w:cs="ＭＳ 明朝"/>
    </w:rPr>
  </w:style>
  <w:style w:type="paragraph" w:customStyle="1" w:styleId="enf5">
    <w:name w:val="項　番号なし（en）"/>
    <w:basedOn w:val="jaf5"/>
    <w:rsid w:val="00C662EC"/>
    <w:rPr>
      <w:rFonts w:ascii="Century" w:eastAsia="Century" w:hAnsi="Century" w:cs="Century"/>
    </w:rPr>
  </w:style>
  <w:style w:type="paragraph" w:customStyle="1" w:styleId="jaf6">
    <w:name w:val="号（ja）"/>
    <w:basedOn w:val="a"/>
    <w:rsid w:val="00C662EC"/>
    <w:pPr>
      <w:widowControl w:val="0"/>
      <w:ind w:left="439" w:hanging="219"/>
    </w:pPr>
    <w:rPr>
      <w:rFonts w:ascii="ＭＳ 明朝" w:eastAsia="ＭＳ 明朝" w:hAnsi="ＭＳ 明朝" w:cs="ＭＳ 明朝"/>
    </w:rPr>
  </w:style>
  <w:style w:type="paragraph" w:customStyle="1" w:styleId="enf6">
    <w:name w:val="号（en）"/>
    <w:basedOn w:val="jaf6"/>
    <w:rsid w:val="00C662EC"/>
    <w:rPr>
      <w:rFonts w:ascii="Century" w:eastAsia="Century" w:hAnsi="Century" w:cs="Century"/>
    </w:rPr>
  </w:style>
  <w:style w:type="paragraph" w:customStyle="1" w:styleId="jaf7">
    <w:name w:val="号　番号なし（ja）"/>
    <w:basedOn w:val="a"/>
    <w:rsid w:val="00C662EC"/>
    <w:pPr>
      <w:widowControl w:val="0"/>
      <w:ind w:left="221" w:firstLine="221"/>
    </w:pPr>
    <w:rPr>
      <w:rFonts w:ascii="ＭＳ 明朝" w:eastAsia="ＭＳ 明朝" w:hAnsi="ＭＳ 明朝" w:cs="ＭＳ 明朝"/>
    </w:rPr>
  </w:style>
  <w:style w:type="paragraph" w:customStyle="1" w:styleId="enf7">
    <w:name w:val="号　番号なし（en）"/>
    <w:basedOn w:val="jaf7"/>
    <w:rsid w:val="00C662EC"/>
    <w:rPr>
      <w:rFonts w:ascii="Century" w:eastAsia="Century" w:hAnsi="Century" w:cs="Century"/>
    </w:rPr>
  </w:style>
  <w:style w:type="paragraph" w:customStyle="1" w:styleId="jaf8">
    <w:name w:val="備考号（ja）"/>
    <w:basedOn w:val="a"/>
    <w:rsid w:val="00C662EC"/>
    <w:pPr>
      <w:widowControl w:val="0"/>
      <w:ind w:left="659" w:hanging="219"/>
    </w:pPr>
    <w:rPr>
      <w:rFonts w:ascii="ＭＳ 明朝" w:eastAsia="ＭＳ 明朝" w:hAnsi="ＭＳ 明朝" w:cs="ＭＳ 明朝"/>
    </w:rPr>
  </w:style>
  <w:style w:type="paragraph" w:customStyle="1" w:styleId="enf8">
    <w:name w:val="備考号（en）"/>
    <w:basedOn w:val="jaf8"/>
    <w:rsid w:val="00C662EC"/>
    <w:rPr>
      <w:rFonts w:ascii="Century" w:eastAsia="Century" w:hAnsi="Century" w:cs="Century"/>
    </w:rPr>
  </w:style>
  <w:style w:type="paragraph" w:customStyle="1" w:styleId="jaf9">
    <w:name w:val="号細分（ja）"/>
    <w:basedOn w:val="a"/>
    <w:rsid w:val="00C662EC"/>
    <w:pPr>
      <w:widowControl w:val="0"/>
      <w:ind w:left="659" w:hanging="219"/>
    </w:pPr>
    <w:rPr>
      <w:rFonts w:ascii="ＭＳ 明朝" w:eastAsia="ＭＳ 明朝" w:hAnsi="ＭＳ 明朝" w:cs="ＭＳ 明朝"/>
    </w:rPr>
  </w:style>
  <w:style w:type="paragraph" w:customStyle="1" w:styleId="enf9">
    <w:name w:val="号細分（en）"/>
    <w:basedOn w:val="jaf9"/>
    <w:rsid w:val="00C662EC"/>
    <w:rPr>
      <w:rFonts w:ascii="Century" w:eastAsia="Century" w:hAnsi="Century" w:cs="Century"/>
    </w:rPr>
  </w:style>
  <w:style w:type="paragraph" w:customStyle="1" w:styleId="jafa">
    <w:name w:val="号細分　番号なし（ja）"/>
    <w:basedOn w:val="a"/>
    <w:rsid w:val="00C662EC"/>
    <w:pPr>
      <w:widowControl w:val="0"/>
      <w:ind w:left="439"/>
    </w:pPr>
    <w:rPr>
      <w:rFonts w:ascii="ＭＳ 明朝" w:eastAsia="ＭＳ 明朝" w:hAnsi="ＭＳ 明朝" w:cs="ＭＳ 明朝"/>
    </w:rPr>
  </w:style>
  <w:style w:type="paragraph" w:customStyle="1" w:styleId="enfa">
    <w:name w:val="号細分　番号なし（en）"/>
    <w:basedOn w:val="jafa"/>
    <w:rsid w:val="00C662EC"/>
    <w:rPr>
      <w:rFonts w:ascii="Century" w:eastAsia="Century" w:hAnsi="Century" w:cs="Century"/>
    </w:rPr>
  </w:style>
  <w:style w:type="paragraph" w:customStyle="1" w:styleId="jafb">
    <w:name w:val="備考号細分（ja）"/>
    <w:basedOn w:val="a"/>
    <w:rsid w:val="00C662EC"/>
    <w:pPr>
      <w:widowControl w:val="0"/>
      <w:ind w:left="1099" w:hanging="439"/>
    </w:pPr>
    <w:rPr>
      <w:rFonts w:ascii="ＭＳ 明朝" w:eastAsia="ＭＳ 明朝" w:hAnsi="ＭＳ 明朝" w:cs="ＭＳ 明朝"/>
    </w:rPr>
  </w:style>
  <w:style w:type="paragraph" w:customStyle="1" w:styleId="enfb">
    <w:name w:val="備考号細分（en）"/>
    <w:basedOn w:val="jafb"/>
    <w:rsid w:val="00C662EC"/>
    <w:rPr>
      <w:rFonts w:ascii="Century" w:eastAsia="Century" w:hAnsi="Century" w:cs="Century"/>
    </w:rPr>
  </w:style>
  <w:style w:type="paragraph" w:customStyle="1" w:styleId="jafc">
    <w:name w:val="号細細分（ja）"/>
    <w:basedOn w:val="a"/>
    <w:rsid w:val="00C662EC"/>
    <w:pPr>
      <w:widowControl w:val="0"/>
      <w:ind w:left="1099" w:hanging="439"/>
    </w:pPr>
    <w:rPr>
      <w:rFonts w:ascii="ＭＳ 明朝" w:eastAsia="ＭＳ 明朝" w:hAnsi="ＭＳ 明朝" w:cs="ＭＳ 明朝"/>
    </w:rPr>
  </w:style>
  <w:style w:type="paragraph" w:customStyle="1" w:styleId="enfc">
    <w:name w:val="号細細分（en）"/>
    <w:basedOn w:val="jafc"/>
    <w:rsid w:val="00C662EC"/>
    <w:rPr>
      <w:rFonts w:ascii="Century" w:eastAsia="Century" w:hAnsi="Century" w:cs="Century"/>
    </w:rPr>
  </w:style>
  <w:style w:type="paragraph" w:customStyle="1" w:styleId="jafd">
    <w:name w:val="号細細分　番号なし（ja）"/>
    <w:basedOn w:val="a"/>
    <w:rsid w:val="00C662EC"/>
    <w:pPr>
      <w:widowControl w:val="0"/>
      <w:ind w:left="659"/>
    </w:pPr>
    <w:rPr>
      <w:rFonts w:ascii="ＭＳ 明朝" w:eastAsia="ＭＳ 明朝" w:hAnsi="ＭＳ 明朝" w:cs="ＭＳ 明朝"/>
    </w:rPr>
  </w:style>
  <w:style w:type="paragraph" w:customStyle="1" w:styleId="enfd">
    <w:name w:val="号細細分　番号なし（en）"/>
    <w:basedOn w:val="jafd"/>
    <w:rsid w:val="00C662EC"/>
    <w:rPr>
      <w:rFonts w:ascii="Century" w:eastAsia="Century" w:hAnsi="Century" w:cs="Century"/>
    </w:rPr>
  </w:style>
  <w:style w:type="paragraph" w:customStyle="1" w:styleId="jafe">
    <w:name w:val="備考号細細分（ja）"/>
    <w:basedOn w:val="a"/>
    <w:rsid w:val="00C662EC"/>
    <w:pPr>
      <w:widowControl w:val="0"/>
      <w:ind w:left="1319" w:hanging="439"/>
    </w:pPr>
    <w:rPr>
      <w:rFonts w:ascii="ＭＳ 明朝" w:eastAsia="ＭＳ 明朝" w:hAnsi="ＭＳ 明朝" w:cs="ＭＳ 明朝"/>
    </w:rPr>
  </w:style>
  <w:style w:type="paragraph" w:customStyle="1" w:styleId="enfe">
    <w:name w:val="備考号細細分（en）"/>
    <w:basedOn w:val="jafe"/>
    <w:rsid w:val="00C662EC"/>
    <w:rPr>
      <w:rFonts w:ascii="Century" w:eastAsia="Century" w:hAnsi="Century" w:cs="Century"/>
    </w:rPr>
  </w:style>
  <w:style w:type="paragraph" w:customStyle="1" w:styleId="jaff">
    <w:name w:val="号細細細分（ja）"/>
    <w:basedOn w:val="a"/>
    <w:rsid w:val="00C662EC"/>
    <w:pPr>
      <w:widowControl w:val="0"/>
      <w:ind w:left="1319" w:hanging="439"/>
    </w:pPr>
    <w:rPr>
      <w:rFonts w:ascii="ＭＳ 明朝" w:eastAsia="ＭＳ 明朝" w:hAnsi="ＭＳ 明朝" w:cs="ＭＳ 明朝"/>
    </w:rPr>
  </w:style>
  <w:style w:type="paragraph" w:customStyle="1" w:styleId="enff">
    <w:name w:val="号細細細分（en）"/>
    <w:basedOn w:val="jaff"/>
    <w:rsid w:val="00C662EC"/>
    <w:rPr>
      <w:rFonts w:ascii="Century" w:eastAsia="Century" w:hAnsi="Century" w:cs="Century"/>
    </w:rPr>
  </w:style>
  <w:style w:type="paragraph" w:customStyle="1" w:styleId="jaff0">
    <w:name w:val="号細細細分　番号なし（ja）"/>
    <w:basedOn w:val="a"/>
    <w:rsid w:val="00C662EC"/>
    <w:pPr>
      <w:widowControl w:val="0"/>
      <w:ind w:left="879"/>
    </w:pPr>
    <w:rPr>
      <w:rFonts w:ascii="ＭＳ 明朝" w:eastAsia="ＭＳ 明朝" w:hAnsi="ＭＳ 明朝" w:cs="ＭＳ 明朝"/>
    </w:rPr>
  </w:style>
  <w:style w:type="paragraph" w:customStyle="1" w:styleId="enff0">
    <w:name w:val="号細細細分　番号なし（en）"/>
    <w:basedOn w:val="jaff0"/>
    <w:rsid w:val="00C662EC"/>
    <w:rPr>
      <w:rFonts w:ascii="Century" w:eastAsia="Century" w:hAnsi="Century" w:cs="Century"/>
    </w:rPr>
  </w:style>
  <w:style w:type="paragraph" w:customStyle="1" w:styleId="jaff1">
    <w:name w:val="備考号細細細分（ja）"/>
    <w:basedOn w:val="a"/>
    <w:rsid w:val="00C662EC"/>
    <w:pPr>
      <w:widowControl w:val="0"/>
      <w:ind w:left="1539" w:hanging="439"/>
    </w:pPr>
    <w:rPr>
      <w:rFonts w:ascii="ＭＳ 明朝" w:eastAsia="ＭＳ 明朝" w:hAnsi="ＭＳ 明朝" w:cs="ＭＳ 明朝"/>
    </w:rPr>
  </w:style>
  <w:style w:type="paragraph" w:customStyle="1" w:styleId="enff1">
    <w:name w:val="備考号細細細分（en）"/>
    <w:basedOn w:val="jaff1"/>
    <w:rsid w:val="00C662EC"/>
    <w:rPr>
      <w:rFonts w:ascii="Century" w:eastAsia="Century" w:hAnsi="Century" w:cs="Century"/>
    </w:rPr>
  </w:style>
  <w:style w:type="paragraph" w:customStyle="1" w:styleId="jaff2">
    <w:name w:val="類（ja）"/>
    <w:basedOn w:val="a"/>
    <w:rsid w:val="00C662EC"/>
    <w:pPr>
      <w:widowControl w:val="0"/>
      <w:ind w:left="439" w:hanging="219"/>
    </w:pPr>
    <w:rPr>
      <w:rFonts w:ascii="ＭＳ 明朝" w:eastAsia="ＭＳ 明朝" w:hAnsi="ＭＳ 明朝" w:cs="ＭＳ 明朝"/>
    </w:rPr>
  </w:style>
  <w:style w:type="paragraph" w:customStyle="1" w:styleId="enff2">
    <w:name w:val="類（en）"/>
    <w:basedOn w:val="jaff2"/>
    <w:rsid w:val="00C662EC"/>
    <w:rPr>
      <w:rFonts w:ascii="Century" w:eastAsia="Century" w:hAnsi="Century" w:cs="Century"/>
    </w:rPr>
  </w:style>
  <w:style w:type="paragraph" w:customStyle="1" w:styleId="jaff3">
    <w:name w:val="公布文（ja）"/>
    <w:basedOn w:val="a"/>
    <w:rsid w:val="00C662EC"/>
    <w:pPr>
      <w:widowControl w:val="0"/>
      <w:ind w:firstLine="219"/>
    </w:pPr>
    <w:rPr>
      <w:rFonts w:ascii="ＭＳ 明朝" w:eastAsia="ＭＳ 明朝" w:hAnsi="ＭＳ 明朝" w:cs="ＭＳ 明朝"/>
    </w:rPr>
  </w:style>
  <w:style w:type="paragraph" w:customStyle="1" w:styleId="enff3">
    <w:name w:val="公布文（en）"/>
    <w:basedOn w:val="jaff3"/>
    <w:rsid w:val="00C662EC"/>
    <w:rPr>
      <w:rFonts w:ascii="Century" w:eastAsia="Century" w:hAnsi="Century" w:cs="Century"/>
    </w:rPr>
  </w:style>
  <w:style w:type="paragraph" w:customStyle="1" w:styleId="jaen">
    <w:name w:val="表（ja：en）"/>
    <w:basedOn w:val="a"/>
    <w:rsid w:val="00C662EC"/>
    <w:pPr>
      <w:widowControl w:val="0"/>
      <w:snapToGrid w:val="0"/>
    </w:pPr>
    <w:rPr>
      <w:rFonts w:ascii="Century" w:eastAsia="ＭＳ 明朝" w:hAnsi="Century"/>
    </w:rPr>
  </w:style>
  <w:style w:type="paragraph" w:customStyle="1" w:styleId="jaff4">
    <w:name w:val="備考（ja）"/>
    <w:basedOn w:val="a"/>
    <w:rsid w:val="00C662EC"/>
    <w:pPr>
      <w:widowControl w:val="0"/>
      <w:ind w:left="439" w:hanging="219"/>
    </w:pPr>
    <w:rPr>
      <w:rFonts w:ascii="ＭＳ 明朝" w:eastAsia="ＭＳ 明朝" w:hAnsi="ＭＳ 明朝" w:cs="ＭＳ 明朝"/>
    </w:rPr>
  </w:style>
  <w:style w:type="paragraph" w:customStyle="1" w:styleId="enff4">
    <w:name w:val="備考（en）"/>
    <w:basedOn w:val="jaff4"/>
    <w:rsid w:val="00C662EC"/>
    <w:rPr>
      <w:rFonts w:ascii="Century" w:eastAsia="Century" w:hAnsi="Century" w:cs="Century"/>
    </w:rPr>
  </w:style>
  <w:style w:type="paragraph" w:customStyle="1" w:styleId="jaff5">
    <w:name w:val="表タイトル（ja）"/>
    <w:basedOn w:val="a"/>
    <w:rsid w:val="00C662EC"/>
    <w:pPr>
      <w:widowControl w:val="0"/>
      <w:ind w:left="219"/>
    </w:pPr>
    <w:rPr>
      <w:rFonts w:ascii="ＭＳ 明朝" w:eastAsia="ＭＳ 明朝" w:hAnsi="ＭＳ 明朝" w:cs="ＭＳ 明朝"/>
    </w:rPr>
  </w:style>
  <w:style w:type="paragraph" w:customStyle="1" w:styleId="enff5">
    <w:name w:val="表タイトル（en）"/>
    <w:basedOn w:val="jaff5"/>
    <w:rsid w:val="00C662EC"/>
    <w:rPr>
      <w:rFonts w:ascii="Century" w:eastAsia="Century" w:hAnsi="Century" w:cs="Century"/>
    </w:rPr>
  </w:style>
  <w:style w:type="paragraph" w:customStyle="1" w:styleId="jaff6">
    <w:name w:val="改正規定文（ja）"/>
    <w:basedOn w:val="a"/>
    <w:rsid w:val="00C662EC"/>
    <w:pPr>
      <w:widowControl w:val="0"/>
      <w:ind w:left="219" w:firstLine="219"/>
    </w:pPr>
    <w:rPr>
      <w:rFonts w:ascii="ＭＳ 明朝" w:eastAsia="ＭＳ 明朝" w:hAnsi="ＭＳ 明朝" w:cs="ＭＳ 明朝"/>
    </w:rPr>
  </w:style>
  <w:style w:type="paragraph" w:customStyle="1" w:styleId="enff6">
    <w:name w:val="改正規定文（en）"/>
    <w:basedOn w:val="jaff6"/>
    <w:rsid w:val="00C662EC"/>
    <w:rPr>
      <w:rFonts w:ascii="Century" w:eastAsia="Century" w:hAnsi="Century" w:cs="Century"/>
    </w:rPr>
  </w:style>
  <w:style w:type="paragraph" w:customStyle="1" w:styleId="jaff7">
    <w:name w:val="付記（ja）"/>
    <w:basedOn w:val="a"/>
    <w:rsid w:val="00C662EC"/>
    <w:pPr>
      <w:widowControl w:val="0"/>
      <w:ind w:left="219" w:firstLine="219"/>
    </w:pPr>
    <w:rPr>
      <w:rFonts w:ascii="ＭＳ 明朝" w:eastAsia="ＭＳ 明朝" w:hAnsi="ＭＳ 明朝" w:cs="ＭＳ 明朝"/>
    </w:rPr>
  </w:style>
  <w:style w:type="paragraph" w:customStyle="1" w:styleId="enff7">
    <w:name w:val="付記（en）"/>
    <w:basedOn w:val="jaff7"/>
    <w:rsid w:val="00C662EC"/>
    <w:rPr>
      <w:rFonts w:ascii="Century" w:eastAsia="Century" w:hAnsi="Century" w:cs="Century"/>
    </w:rPr>
  </w:style>
  <w:style w:type="paragraph" w:customStyle="1" w:styleId="jaff8">
    <w:name w:val="様式名（ja）"/>
    <w:basedOn w:val="a"/>
    <w:rsid w:val="00C662EC"/>
    <w:pPr>
      <w:widowControl w:val="0"/>
      <w:ind w:left="439" w:hanging="219"/>
    </w:pPr>
    <w:rPr>
      <w:rFonts w:ascii="ＭＳ 明朝" w:eastAsia="ＭＳ 明朝" w:hAnsi="ＭＳ 明朝" w:cs="ＭＳ 明朝"/>
    </w:rPr>
  </w:style>
  <w:style w:type="paragraph" w:customStyle="1" w:styleId="enff8">
    <w:name w:val="様式名（en）"/>
    <w:basedOn w:val="jaff8"/>
    <w:rsid w:val="00C662EC"/>
    <w:rPr>
      <w:rFonts w:ascii="Century" w:eastAsia="Century" w:hAnsi="Century" w:cs="Century"/>
    </w:rPr>
  </w:style>
  <w:style w:type="paragraph" w:customStyle="1" w:styleId="jaff9">
    <w:name w:val="様式項目（ja）"/>
    <w:basedOn w:val="a"/>
    <w:rsid w:val="00C662EC"/>
    <w:pPr>
      <w:widowControl w:val="0"/>
      <w:ind w:left="221" w:firstLine="221"/>
    </w:pPr>
    <w:rPr>
      <w:rFonts w:ascii="ＭＳ 明朝" w:eastAsia="ＭＳ 明朝" w:hAnsi="ＭＳ 明朝" w:cs="ＭＳ 明朝"/>
    </w:rPr>
  </w:style>
  <w:style w:type="paragraph" w:customStyle="1" w:styleId="enff9">
    <w:name w:val="様式項目（en）"/>
    <w:basedOn w:val="jaff9"/>
    <w:rsid w:val="00C662EC"/>
    <w:rPr>
      <w:rFonts w:ascii="Century" w:eastAsia="Century" w:hAnsi="Century" w:cs="Century"/>
    </w:rPr>
  </w:style>
  <w:style w:type="table" w:customStyle="1" w:styleId="1">
    <w:name w:val="表1"/>
    <w:rsid w:val="00C662EC"/>
    <w:tblPr>
      <w:tblInd w:w="340" w:type="dxa"/>
      <w:tblCellMar>
        <w:top w:w="0" w:type="dxa"/>
        <w:left w:w="0" w:type="dxa"/>
        <w:bottom w:w="0" w:type="dxa"/>
        <w:right w:w="0" w:type="dxa"/>
      </w:tblCellMar>
    </w:tblPr>
  </w:style>
  <w:style w:type="numbering" w:customStyle="1" w:styleId="WW8Num1">
    <w:name w:val="WW8Num1"/>
    <w:rsid w:val="00C662EC"/>
    <w:pPr>
      <w:numPr>
        <w:numId w:val="2"/>
      </w:numPr>
    </w:pPr>
  </w:style>
  <w:style w:type="numbering" w:customStyle="1" w:styleId="WW8Num2">
    <w:name w:val="WW8Num2"/>
    <w:rsid w:val="00C662EC"/>
    <w:pPr>
      <w:numPr>
        <w:numId w:val="3"/>
      </w:numPr>
    </w:pPr>
  </w:style>
  <w:style w:type="numbering" w:customStyle="1" w:styleId="WW8Num3">
    <w:name w:val="WW8Num3"/>
    <w:rsid w:val="00C662EC"/>
    <w:pPr>
      <w:numPr>
        <w:numId w:val="4"/>
      </w:numPr>
    </w:pPr>
  </w:style>
  <w:style w:type="numbering" w:customStyle="1" w:styleId="WW8Num4">
    <w:name w:val="WW8Num4"/>
    <w:rsid w:val="00C662EC"/>
    <w:pPr>
      <w:numPr>
        <w:numId w:val="5"/>
      </w:numPr>
    </w:pPr>
  </w:style>
  <w:style w:type="numbering" w:customStyle="1" w:styleId="WW8Num5">
    <w:name w:val="WW8Num5"/>
    <w:rsid w:val="00C662EC"/>
    <w:pPr>
      <w:numPr>
        <w:numId w:val="6"/>
      </w:numPr>
    </w:pPr>
  </w:style>
  <w:style w:type="numbering" w:customStyle="1" w:styleId="WW8Num6">
    <w:name w:val="WW8Num6"/>
    <w:rsid w:val="00C662EC"/>
    <w:pPr>
      <w:numPr>
        <w:numId w:val="7"/>
      </w:numPr>
    </w:pPr>
  </w:style>
  <w:style w:type="numbering" w:customStyle="1" w:styleId="WW8Num7">
    <w:name w:val="WW8Num7"/>
    <w:rsid w:val="00C662EC"/>
    <w:pPr>
      <w:numPr>
        <w:numId w:val="8"/>
      </w:numPr>
    </w:pPr>
  </w:style>
  <w:style w:type="numbering" w:customStyle="1" w:styleId="WW8Num8">
    <w:name w:val="WW8Num8"/>
    <w:rsid w:val="00C662EC"/>
    <w:pPr>
      <w:numPr>
        <w:numId w:val="9"/>
      </w:numPr>
    </w:pPr>
  </w:style>
  <w:style w:type="numbering" w:customStyle="1" w:styleId="WW8Num9">
    <w:name w:val="WW8Num9"/>
    <w:rsid w:val="00C662EC"/>
    <w:pPr>
      <w:numPr>
        <w:numId w:val="10"/>
      </w:numPr>
    </w:pPr>
  </w:style>
  <w:style w:type="numbering" w:customStyle="1" w:styleId="WW8Num10">
    <w:name w:val="WW8Num10"/>
    <w:rsid w:val="00C662EC"/>
    <w:pPr>
      <w:numPr>
        <w:numId w:val="11"/>
      </w:numPr>
    </w:pPr>
  </w:style>
  <w:style w:type="numbering" w:customStyle="1" w:styleId="WW8Num11">
    <w:name w:val="WW8Num11"/>
    <w:rsid w:val="00C662EC"/>
    <w:pPr>
      <w:numPr>
        <w:numId w:val="12"/>
      </w:numPr>
    </w:pPr>
  </w:style>
  <w:style w:type="numbering" w:customStyle="1" w:styleId="WW8Num12">
    <w:name w:val="WW8Num12"/>
    <w:rsid w:val="00C662E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931</Words>
  <Characters>5311</Characters>
  <Application>Microsoft Office Word</Application>
  <DocSecurity>0</DocSecurity>
  <Lines>44</Lines>
  <Paragraphs>12</Paragraphs>
  <ScaleCrop>false</ScaleCrop>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2025-04-23T01:00:00Z</dcterms:created>
  <dcterms:modified xsi:type="dcterms:W3CDTF">2025-04-23T01:00:00Z</dcterms:modified>
</cp:coreProperties>
</file>