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CB6" w:rsidRDefault="008B393F">
      <w:pPr>
        <w:pStyle w:val="en"/>
      </w:pPr>
      <w:r>
        <w:t>Ministerial Order on the Storage of Mercury and Mercury Compounds</w:t>
      </w:r>
    </w:p>
    <w:p w:rsidR="00CD2CB6" w:rsidRDefault="00CD2CB6"/>
    <w:p w:rsidR="00CD2CB6" w:rsidRDefault="008B393F">
      <w:pPr>
        <w:pStyle w:val="enf"/>
      </w:pPr>
      <w:r>
        <w:t>(Ministerial Order of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the Ministry of the Environment, and the Ministry of Defence No. 1 of December 7, 2015)</w:t>
      </w:r>
    </w:p>
    <w:p w:rsidR="00CD2CB6" w:rsidRDefault="00CD2CB6"/>
    <w:p w:rsidR="00CD2CB6" w:rsidRDefault="008B393F">
      <w:pPr>
        <w:pStyle w:val="ene"/>
      </w:pPr>
      <w:r>
        <w:t>Under Article 22, paragraph (1) of the Act on Preventing Environmental Pollution of Mercury (Act No. 42 of 2015), this Ministerial Order on the storage of mercury and mercury compounds is established as follows.</w:t>
      </w:r>
    </w:p>
    <w:p w:rsidR="00CD2CB6" w:rsidRDefault="00CD2CB6"/>
    <w:p w:rsidR="00CD2CB6" w:rsidRDefault="008B393F">
      <w:pPr>
        <w:pStyle w:val="ena"/>
      </w:pPr>
      <w:r>
        <w:t>(Terms)</w:t>
      </w:r>
    </w:p>
    <w:p w:rsidR="00CD2CB6" w:rsidRDefault="008B393F">
      <w:pPr>
        <w:pStyle w:val="enf3"/>
      </w:pPr>
      <w:r>
        <w:t>Article 1  The terms used in this Ministerial Order is to follow examples of the terms used in the Act on Preventing Environmental Pollution of Mercury (referred below to as "the Act").</w:t>
      </w:r>
    </w:p>
    <w:p w:rsidR="00CD2CB6" w:rsidRDefault="00CD2CB6"/>
    <w:p w:rsidR="00CD2CB6" w:rsidRDefault="008B393F">
      <w:pPr>
        <w:pStyle w:val="ena"/>
      </w:pPr>
      <w:r>
        <w:t>(Conditions for a Person Storing Mercury or Mercury Compounds Requiring Reporting)</w:t>
      </w:r>
    </w:p>
    <w:p w:rsidR="00CD2CB6" w:rsidRDefault="008B393F">
      <w:pPr>
        <w:pStyle w:val="enf3"/>
      </w:pPr>
      <w:r>
        <w:t>Article 2  Conditions provided by the Ministerial Order of the competent ministry referred to in Article 22, paragraph (1) of the Act for each of the following mercury and mercury compounds is to be that the maximum quantity of mercury and mercury compounds stored at each place of business in the relevant fiscal year (from April 1 of the relevant year to March 31 of the following year; the same applies below) is equal to or exceeds each quantity provided in that item:</w:t>
      </w:r>
    </w:p>
    <w:p w:rsidR="00CD2CB6" w:rsidRDefault="008B393F">
      <w:pPr>
        <w:pStyle w:val="enf6"/>
      </w:pPr>
      <w:r>
        <w:t>(i) mercury and its mixtures (including mercury alloys, limited to those with a mercury concentration of 95% or more of total weight): 30 kg;</w:t>
      </w:r>
    </w:p>
    <w:p w:rsidR="00CD2CB6" w:rsidRDefault="008B393F">
      <w:pPr>
        <w:pStyle w:val="enf6"/>
      </w:pPr>
      <w:r>
        <w:t>(ii) mercury (I) chloride and its mixtures (limited to those with a mercury (I) chloride concentration of 95% or more of total weight): 30 kg;</w:t>
      </w:r>
    </w:p>
    <w:p w:rsidR="00CD2CB6" w:rsidRDefault="008B393F">
      <w:pPr>
        <w:pStyle w:val="enf6"/>
      </w:pPr>
      <w:r>
        <w:t>(iii) mercury (II) oxide and its mixtures (limited to those with a mercury (II) oxide concentration of 95% or more of total weight): 30 kg;</w:t>
      </w:r>
    </w:p>
    <w:p w:rsidR="00CD2CB6" w:rsidRDefault="008B393F">
      <w:pPr>
        <w:pStyle w:val="enf6"/>
      </w:pPr>
      <w:r>
        <w:t>(iv) mercury (II) sulfate and its mixtures (limited to those with a mercury (II) sulfate concentration of 95% or more of total weight): 30 kg;</w:t>
      </w:r>
    </w:p>
    <w:p w:rsidR="00CD2CB6" w:rsidRDefault="008B393F">
      <w:pPr>
        <w:pStyle w:val="enf6"/>
      </w:pPr>
      <w:r>
        <w:t>(v) mercury (II) nitrate, mercury (II) nitrate hydrate, and their mixtures (limited to those with a total mercury (II) nitrate and mercury (II) nitrate hydrate concentration of 95% or more of total weight): 30 kg;</w:t>
      </w:r>
    </w:p>
    <w:p w:rsidR="00CD2CB6" w:rsidRDefault="008B393F">
      <w:pPr>
        <w:pStyle w:val="enf6"/>
      </w:pPr>
      <w:r>
        <w:lastRenderedPageBreak/>
        <w:t>(vi) mercury sulfide and its mixtures (excluding cinnabars, limited to those with a mercury sulfide concentration of 95% or more of total weight) 30 kg:</w:t>
      </w:r>
    </w:p>
    <w:p w:rsidR="00CD2CB6" w:rsidRDefault="008B393F">
      <w:pPr>
        <w:pStyle w:val="enf6"/>
      </w:pPr>
      <w:r>
        <w:t>(vii) cinnabar: the quantity of mercury sulfide contained is 30 kg.</w:t>
      </w:r>
    </w:p>
    <w:p w:rsidR="00CD2CB6" w:rsidRDefault="00CD2CB6"/>
    <w:p w:rsidR="00CD2CB6" w:rsidRDefault="008B393F">
      <w:pPr>
        <w:pStyle w:val="ena"/>
      </w:pPr>
      <w:r>
        <w:t>(Reporting on Storage)</w:t>
      </w:r>
    </w:p>
    <w:p w:rsidR="00CD2CB6" w:rsidRDefault="008B393F">
      <w:pPr>
        <w:pStyle w:val="enf3"/>
      </w:pPr>
      <w:r>
        <w:t>Article 3  Reporting under Article 22, paragraph (1) of the Act must be made for each place of business every fiscal year, by the end of June of the following year of the relevant fiscal year, by submitting a report using an appended form.</w:t>
      </w:r>
    </w:p>
    <w:p w:rsidR="00CD2CB6" w:rsidRDefault="00CD2CB6"/>
    <w:p w:rsidR="00CD2CB6" w:rsidRDefault="008B393F">
      <w:pPr>
        <w:pStyle w:val="ena"/>
      </w:pPr>
      <w:r>
        <w:t>(Reporting Matters)</w:t>
      </w:r>
    </w:p>
    <w:p w:rsidR="00CD2CB6" w:rsidRDefault="008B393F">
      <w:pPr>
        <w:pStyle w:val="enf3"/>
      </w:pPr>
      <w:r>
        <w:t>Article 4  The matters provided by the Ministerial Order of the competent ministry referred to in Article 22, paragraph (1) of the Act is to be the following for the relevant fiscal year:</w:t>
      </w:r>
    </w:p>
    <w:p w:rsidR="00CD2CB6" w:rsidRDefault="008B393F">
      <w:pPr>
        <w:pStyle w:val="enf6"/>
      </w:pPr>
      <w:r>
        <w:t>(i) the name, address, and in the case of a corporation, the name of the representative;</w:t>
      </w:r>
    </w:p>
    <w:p w:rsidR="00CD2CB6" w:rsidRDefault="008B393F">
      <w:pPr>
        <w:pStyle w:val="enf6"/>
      </w:pPr>
      <w:r>
        <w:t>(ii) the name and location of the place of business;</w:t>
      </w:r>
    </w:p>
    <w:p w:rsidR="00CD2CB6" w:rsidRDefault="008B393F">
      <w:pPr>
        <w:pStyle w:val="enf6"/>
      </w:pPr>
      <w:r>
        <w:t>(iii) business related to the storage of mercury and mercury compounds, conducted by a person storing mercury or mercury compounds;</w:t>
      </w:r>
    </w:p>
    <w:p w:rsidR="00CD2CB6" w:rsidRDefault="008B393F">
      <w:pPr>
        <w:pStyle w:val="enf6"/>
      </w:pPr>
      <w:r>
        <w:t>(iv) the types and quantities of mercury and mercury compounds stored at the beginning of each fiscal year;</w:t>
      </w:r>
    </w:p>
    <w:p w:rsidR="00CD2CB6" w:rsidRDefault="008B393F">
      <w:pPr>
        <w:pStyle w:val="enf6"/>
      </w:pPr>
      <w:r>
        <w:t>(v) the types and quantities of mercury and mercury compounds manufactured or received;</w:t>
      </w:r>
    </w:p>
    <w:p w:rsidR="00CD2CB6" w:rsidRDefault="008B393F">
      <w:pPr>
        <w:pStyle w:val="enf6"/>
      </w:pPr>
      <w:r>
        <w:t>(vi) the types and quantities of mercury and mercury compounds that are used, transferred, or categorized as waste under Article 2, paragraph (1) of the Waste Management and Public Cleansing Act (Act No. 137 of 1970) (in the case of being used or transferred, the quantity according to each type of mercury and mercury compounds and its purpose of use or transfer);</w:t>
      </w:r>
    </w:p>
    <w:p w:rsidR="00CD2CB6" w:rsidRDefault="008B393F">
      <w:pPr>
        <w:pStyle w:val="enf6"/>
      </w:pPr>
      <w:r>
        <w:t>(vii) in the case of making or receiving a transfer, the name and address of the other person, and in the case of a corporation, the name of the representative, and the name and location of the place of business;</w:t>
      </w:r>
    </w:p>
    <w:p w:rsidR="00CD2CB6" w:rsidRDefault="008B393F">
      <w:pPr>
        <w:pStyle w:val="enf6"/>
      </w:pPr>
      <w:r>
        <w:t>(viii) the purpose of storage, and the types and quantities of mercury and mercury compounds stored at the end of the fiscal year; and</w:t>
      </w:r>
    </w:p>
    <w:p w:rsidR="00CD2CB6" w:rsidRDefault="008B393F">
      <w:pPr>
        <w:pStyle w:val="enf6"/>
      </w:pPr>
      <w:r>
        <w:t>(ix) measures implemented based on the guidelines provided in Article 21, paragraph (1) of the Act, and other related measures implemented aiming for environmentally appropriate storage of mercury and mercury compounds.</w:t>
      </w:r>
    </w:p>
    <w:p w:rsidR="00CD2CB6" w:rsidRDefault="00CD2CB6"/>
    <w:p w:rsidR="00CD2CB6" w:rsidRDefault="008B393F">
      <w:pPr>
        <w:pStyle w:val="en2"/>
      </w:pPr>
      <w:r>
        <w:t>Supplementary Provisions</w:t>
      </w:r>
    </w:p>
    <w:p w:rsidR="00CD2CB6" w:rsidRDefault="00CD2CB6"/>
    <w:p w:rsidR="00CD2CB6" w:rsidRDefault="008B393F">
      <w:pPr>
        <w:pStyle w:val="ena"/>
      </w:pPr>
      <w:r>
        <w:t>(Date of Enforcement)</w:t>
      </w:r>
    </w:p>
    <w:p w:rsidR="00CD2CB6" w:rsidRDefault="008B393F">
      <w:pPr>
        <w:pStyle w:val="enf3"/>
      </w:pPr>
      <w:r>
        <w:t>Article 1  This Ministerial Order comes into effect on the date of enforcement of the Act.</w:t>
      </w:r>
    </w:p>
    <w:p w:rsidR="00CD2CB6" w:rsidRDefault="00CD2CB6"/>
    <w:p w:rsidR="00CD2CB6" w:rsidRDefault="008B393F">
      <w:pPr>
        <w:pStyle w:val="ena"/>
      </w:pPr>
      <w:r>
        <w:t>(Transitional Measures)</w:t>
      </w:r>
    </w:p>
    <w:p w:rsidR="00CD2CB6" w:rsidRDefault="008B393F">
      <w:pPr>
        <w:pStyle w:val="enf3"/>
      </w:pPr>
      <w:r>
        <w:t>Article 2  For the application of the provisions of Article 4 in the fiscal year when this Ministerial Order comes into effect (referred below to as "the date of enforcement"), the phrase "relevant fiscal year" in that Article is to be replaced by "from the date of enforcement to the end of the fiscal year when this order comes into effect," and the phrase "beginning of the fiscal year" in item (iv) of that Article is to be replaced by "the date of enforcement."</w:t>
      </w:r>
    </w:p>
    <w:sectPr w:rsidR="00CD2CB6" w:rsidSect="00CD2CB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CB6" w:rsidRDefault="00CD2CB6" w:rsidP="00CD2CB6">
      <w:r>
        <w:separator/>
      </w:r>
    </w:p>
  </w:endnote>
  <w:endnote w:type="continuationSeparator" w:id="0">
    <w:p w:rsidR="00CD2CB6" w:rsidRDefault="00CD2CB6" w:rsidP="00CD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CB6" w:rsidRDefault="00CD2CB6">
    <w:pPr>
      <w:pStyle w:val="a3"/>
    </w:pPr>
    <w:r>
      <w:fldChar w:fldCharType="begin"/>
    </w:r>
    <w:r>
      <w:instrText xml:space="preserve"> PAGE  \* MERGEFORMAT </w:instrText>
    </w:r>
    <w:r>
      <w:fldChar w:fldCharType="separate"/>
    </w:r>
    <w:r w:rsidR="008B393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CB6" w:rsidRDefault="00CD2CB6" w:rsidP="00CD2CB6">
      <w:r>
        <w:separator/>
      </w:r>
    </w:p>
  </w:footnote>
  <w:footnote w:type="continuationSeparator" w:id="0">
    <w:p w:rsidR="00CD2CB6" w:rsidRDefault="00CD2CB6" w:rsidP="00CD2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F4D"/>
    <w:multiLevelType w:val="multilevel"/>
    <w:tmpl w:val="2DE8997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B94363"/>
    <w:multiLevelType w:val="multilevel"/>
    <w:tmpl w:val="C512CB8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D221366"/>
    <w:multiLevelType w:val="multilevel"/>
    <w:tmpl w:val="AAD4032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1BB640F"/>
    <w:multiLevelType w:val="multilevel"/>
    <w:tmpl w:val="B380AA4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B32432"/>
    <w:multiLevelType w:val="multilevel"/>
    <w:tmpl w:val="7854B9F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8CC5E44"/>
    <w:multiLevelType w:val="multilevel"/>
    <w:tmpl w:val="209C8A5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B26BE5"/>
    <w:multiLevelType w:val="multilevel"/>
    <w:tmpl w:val="EA26607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8426AFE"/>
    <w:multiLevelType w:val="multilevel"/>
    <w:tmpl w:val="AAC6F09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B72BCE"/>
    <w:multiLevelType w:val="multilevel"/>
    <w:tmpl w:val="7796219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0B1E36"/>
    <w:multiLevelType w:val="multilevel"/>
    <w:tmpl w:val="04883B4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B11582B"/>
    <w:multiLevelType w:val="multilevel"/>
    <w:tmpl w:val="836A1E5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FE47784"/>
    <w:multiLevelType w:val="multilevel"/>
    <w:tmpl w:val="84788B5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D2458A2"/>
    <w:multiLevelType w:val="multilevel"/>
    <w:tmpl w:val="2CC6FBA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17471640">
    <w:abstractNumId w:val="9"/>
  </w:num>
  <w:num w:numId="2" w16cid:durableId="345403391">
    <w:abstractNumId w:val="8"/>
  </w:num>
  <w:num w:numId="3" w16cid:durableId="1845246438">
    <w:abstractNumId w:val="2"/>
  </w:num>
  <w:num w:numId="4" w16cid:durableId="481774438">
    <w:abstractNumId w:val="0"/>
  </w:num>
  <w:num w:numId="5" w16cid:durableId="1035469147">
    <w:abstractNumId w:val="1"/>
  </w:num>
  <w:num w:numId="6" w16cid:durableId="931159982">
    <w:abstractNumId w:val="5"/>
  </w:num>
  <w:num w:numId="7" w16cid:durableId="1960142364">
    <w:abstractNumId w:val="7"/>
  </w:num>
  <w:num w:numId="8" w16cid:durableId="539168656">
    <w:abstractNumId w:val="10"/>
  </w:num>
  <w:num w:numId="9" w16cid:durableId="808595704">
    <w:abstractNumId w:val="12"/>
  </w:num>
  <w:num w:numId="10" w16cid:durableId="672879182">
    <w:abstractNumId w:val="4"/>
  </w:num>
  <w:num w:numId="11" w16cid:durableId="836727085">
    <w:abstractNumId w:val="3"/>
  </w:num>
  <w:num w:numId="12" w16cid:durableId="34353403">
    <w:abstractNumId w:val="6"/>
  </w:num>
  <w:num w:numId="13" w16cid:durableId="488331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D2CB6"/>
    <w:rsid w:val="008B393F"/>
    <w:rsid w:val="00CD2CB6"/>
    <w:rsid w:val="00E3775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CB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D2CB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D2CB6"/>
    <w:rPr>
      <w:rFonts w:ascii="Century" w:eastAsia="Century" w:hAnsi="Century"/>
    </w:rPr>
  </w:style>
  <w:style w:type="paragraph" w:customStyle="1" w:styleId="ja0">
    <w:name w:val="款（ja）"/>
    <w:basedOn w:val="a"/>
    <w:rsid w:val="00CD2CB6"/>
    <w:pPr>
      <w:widowControl w:val="0"/>
      <w:ind w:left="1321" w:hanging="221"/>
    </w:pPr>
    <w:rPr>
      <w:rFonts w:ascii="ＭＳ 明朝" w:eastAsia="ＭＳ 明朝" w:hAnsi="ＭＳ 明朝" w:cs="ＭＳ 明朝"/>
      <w:b/>
    </w:rPr>
  </w:style>
  <w:style w:type="paragraph" w:customStyle="1" w:styleId="en0">
    <w:name w:val="款（en）"/>
    <w:basedOn w:val="ja0"/>
    <w:rsid w:val="00CD2CB6"/>
    <w:rPr>
      <w:rFonts w:ascii="Century" w:eastAsia="Century" w:hAnsi="Century" w:cs="Century"/>
    </w:rPr>
  </w:style>
  <w:style w:type="paragraph" w:customStyle="1" w:styleId="ja1">
    <w:name w:val="前文（ja）"/>
    <w:basedOn w:val="a"/>
    <w:rsid w:val="00CD2CB6"/>
    <w:pPr>
      <w:widowControl w:val="0"/>
      <w:ind w:firstLine="219"/>
    </w:pPr>
    <w:rPr>
      <w:rFonts w:ascii="ＭＳ 明朝" w:eastAsia="ＭＳ 明朝" w:hAnsi="ＭＳ 明朝" w:cs="ＭＳ 明朝"/>
    </w:rPr>
  </w:style>
  <w:style w:type="paragraph" w:customStyle="1" w:styleId="en1">
    <w:name w:val="前文（en）"/>
    <w:basedOn w:val="ja1"/>
    <w:rsid w:val="00CD2CB6"/>
    <w:rPr>
      <w:rFonts w:ascii="Century" w:eastAsia="Century" w:hAnsi="Century" w:cs="Century"/>
    </w:rPr>
  </w:style>
  <w:style w:type="paragraph" w:customStyle="1" w:styleId="ja2">
    <w:name w:val="附則（ja）"/>
    <w:basedOn w:val="a"/>
    <w:rsid w:val="00CD2CB6"/>
    <w:pPr>
      <w:widowControl w:val="0"/>
      <w:ind w:left="881" w:hanging="221"/>
    </w:pPr>
    <w:rPr>
      <w:rFonts w:ascii="ＭＳ 明朝" w:eastAsia="ＭＳ 明朝" w:hAnsi="ＭＳ 明朝" w:cs="ＭＳ 明朝"/>
      <w:b/>
    </w:rPr>
  </w:style>
  <w:style w:type="paragraph" w:customStyle="1" w:styleId="en2">
    <w:name w:val="附則（en）"/>
    <w:basedOn w:val="ja2"/>
    <w:rsid w:val="00CD2CB6"/>
    <w:rPr>
      <w:rFonts w:ascii="Century" w:hAnsi="Century" w:cs="Century"/>
    </w:rPr>
  </w:style>
  <w:style w:type="paragraph" w:customStyle="1" w:styleId="ja3">
    <w:name w:val="章（ja）"/>
    <w:basedOn w:val="a"/>
    <w:rsid w:val="00CD2CB6"/>
    <w:pPr>
      <w:widowControl w:val="0"/>
      <w:ind w:left="881" w:hanging="221"/>
    </w:pPr>
    <w:rPr>
      <w:rFonts w:ascii="ＭＳ 明朝" w:eastAsia="ＭＳ 明朝" w:hAnsi="ＭＳ 明朝" w:cs="ＭＳ 明朝"/>
      <w:b/>
    </w:rPr>
  </w:style>
  <w:style w:type="paragraph" w:customStyle="1" w:styleId="en3">
    <w:name w:val="章（en）"/>
    <w:basedOn w:val="ja3"/>
    <w:rsid w:val="00CD2CB6"/>
    <w:rPr>
      <w:rFonts w:ascii="Century" w:eastAsia="Century" w:hAnsi="Century" w:cs="Century"/>
    </w:rPr>
  </w:style>
  <w:style w:type="paragraph" w:customStyle="1" w:styleId="ja4">
    <w:name w:val="目次編（ja）"/>
    <w:basedOn w:val="a"/>
    <w:rsid w:val="00CD2CB6"/>
    <w:pPr>
      <w:widowControl w:val="0"/>
      <w:ind w:left="219" w:hanging="219"/>
    </w:pPr>
    <w:rPr>
      <w:rFonts w:ascii="ＭＳ 明朝" w:eastAsia="ＭＳ 明朝" w:hAnsi="ＭＳ 明朝"/>
    </w:rPr>
  </w:style>
  <w:style w:type="paragraph" w:customStyle="1" w:styleId="en4">
    <w:name w:val="目次編（en）"/>
    <w:basedOn w:val="ja4"/>
    <w:rsid w:val="00CD2CB6"/>
    <w:rPr>
      <w:rFonts w:ascii="Century" w:eastAsia="Century" w:hAnsi="Century"/>
    </w:rPr>
  </w:style>
  <w:style w:type="paragraph" w:customStyle="1" w:styleId="ja5">
    <w:name w:val="目次章（ja）"/>
    <w:basedOn w:val="a"/>
    <w:rsid w:val="00CD2CB6"/>
    <w:pPr>
      <w:widowControl w:val="0"/>
      <w:ind w:left="439" w:hanging="219"/>
    </w:pPr>
    <w:rPr>
      <w:rFonts w:ascii="ＭＳ 明朝" w:eastAsia="ＭＳ 明朝" w:hAnsi="ＭＳ 明朝"/>
    </w:rPr>
  </w:style>
  <w:style w:type="paragraph" w:customStyle="1" w:styleId="en5">
    <w:name w:val="目次章（en）"/>
    <w:basedOn w:val="ja5"/>
    <w:rsid w:val="00CD2CB6"/>
    <w:rPr>
      <w:rFonts w:ascii="Century" w:eastAsia="Century" w:hAnsi="Century"/>
    </w:rPr>
  </w:style>
  <w:style w:type="paragraph" w:customStyle="1" w:styleId="ja6">
    <w:name w:val="目次節（ja）"/>
    <w:basedOn w:val="a"/>
    <w:rsid w:val="00CD2CB6"/>
    <w:pPr>
      <w:widowControl w:val="0"/>
      <w:ind w:left="659" w:hanging="219"/>
    </w:pPr>
    <w:rPr>
      <w:rFonts w:ascii="ＭＳ 明朝" w:eastAsia="ＭＳ 明朝" w:hAnsi="ＭＳ 明朝"/>
    </w:rPr>
  </w:style>
  <w:style w:type="paragraph" w:customStyle="1" w:styleId="en6">
    <w:name w:val="目次節（en）"/>
    <w:basedOn w:val="ja6"/>
    <w:rsid w:val="00CD2CB6"/>
    <w:rPr>
      <w:rFonts w:ascii="Century" w:eastAsia="Century" w:hAnsi="Century"/>
    </w:rPr>
  </w:style>
  <w:style w:type="paragraph" w:customStyle="1" w:styleId="ja7">
    <w:name w:val="目次款（ja）"/>
    <w:basedOn w:val="a"/>
    <w:rsid w:val="00CD2CB6"/>
    <w:pPr>
      <w:widowControl w:val="0"/>
      <w:ind w:left="879" w:hanging="219"/>
    </w:pPr>
    <w:rPr>
      <w:rFonts w:ascii="ＭＳ 明朝" w:eastAsia="ＭＳ 明朝" w:hAnsi="ＭＳ 明朝" w:cs="Kochi Mincho"/>
    </w:rPr>
  </w:style>
  <w:style w:type="paragraph" w:customStyle="1" w:styleId="en7">
    <w:name w:val="目次款（en）"/>
    <w:basedOn w:val="ja7"/>
    <w:rsid w:val="00CD2CB6"/>
    <w:rPr>
      <w:rFonts w:ascii="Century" w:eastAsia="Century" w:hAnsi="Century"/>
    </w:rPr>
  </w:style>
  <w:style w:type="paragraph" w:customStyle="1" w:styleId="ja8">
    <w:name w:val="別表名（ja）"/>
    <w:basedOn w:val="a"/>
    <w:rsid w:val="00CD2CB6"/>
    <w:pPr>
      <w:widowControl w:val="0"/>
      <w:ind w:left="100" w:hangingChars="100" w:hanging="100"/>
    </w:pPr>
    <w:rPr>
      <w:rFonts w:ascii="ＭＳ 明朝" w:eastAsia="ＭＳ 明朝" w:hAnsi="ＭＳ 明朝" w:cs="ＭＳ 明朝"/>
    </w:rPr>
  </w:style>
  <w:style w:type="paragraph" w:customStyle="1" w:styleId="en8">
    <w:name w:val="別表名（en）"/>
    <w:basedOn w:val="ja8"/>
    <w:rsid w:val="00CD2CB6"/>
    <w:rPr>
      <w:rFonts w:ascii="Century" w:eastAsia="Century" w:hAnsi="Century" w:cs="Century"/>
    </w:rPr>
  </w:style>
  <w:style w:type="paragraph" w:customStyle="1" w:styleId="ja9">
    <w:name w:val="目（ja）"/>
    <w:basedOn w:val="a"/>
    <w:rsid w:val="00CD2CB6"/>
    <w:pPr>
      <w:widowControl w:val="0"/>
      <w:ind w:left="1541" w:hanging="221"/>
    </w:pPr>
    <w:rPr>
      <w:rFonts w:ascii="ＭＳ 明朝" w:eastAsia="ＭＳ 明朝" w:hAnsi="ＭＳ 明朝" w:cs="ＭＳ 明朝"/>
      <w:b/>
    </w:rPr>
  </w:style>
  <w:style w:type="paragraph" w:customStyle="1" w:styleId="en9">
    <w:name w:val="目（en）"/>
    <w:basedOn w:val="ja9"/>
    <w:rsid w:val="00CD2CB6"/>
    <w:rPr>
      <w:rFonts w:ascii="Century" w:eastAsia="Century" w:hAnsi="Century" w:cs="Century"/>
    </w:rPr>
  </w:style>
  <w:style w:type="paragraph" w:customStyle="1" w:styleId="jaa">
    <w:name w:val="見出し（ja）"/>
    <w:basedOn w:val="a"/>
    <w:rsid w:val="00CD2CB6"/>
    <w:pPr>
      <w:widowControl w:val="0"/>
      <w:ind w:left="439" w:hanging="219"/>
    </w:pPr>
    <w:rPr>
      <w:rFonts w:ascii="ＭＳ 明朝" w:eastAsia="ＭＳ 明朝" w:hAnsi="ＭＳ 明朝" w:cs="ＭＳ 明朝"/>
    </w:rPr>
  </w:style>
  <w:style w:type="paragraph" w:customStyle="1" w:styleId="ena">
    <w:name w:val="見出し（en）"/>
    <w:basedOn w:val="jaa"/>
    <w:rsid w:val="00CD2CB6"/>
    <w:rPr>
      <w:rFonts w:ascii="Century" w:eastAsia="Century" w:hAnsi="Century" w:cs="Century"/>
    </w:rPr>
  </w:style>
  <w:style w:type="paragraph" w:styleId="a3">
    <w:name w:val="footer"/>
    <w:basedOn w:val="a"/>
    <w:rsid w:val="00CD2CB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D2CB6"/>
    <w:pPr>
      <w:widowControl w:val="0"/>
      <w:ind w:left="1099" w:hanging="219"/>
    </w:pPr>
    <w:rPr>
      <w:rFonts w:ascii="ＭＳ 明朝" w:eastAsia="ＭＳ 明朝" w:hAnsi="ＭＳ 明朝" w:cs="Kochi Mincho"/>
    </w:rPr>
  </w:style>
  <w:style w:type="paragraph" w:customStyle="1" w:styleId="enb">
    <w:name w:val="目次目（en）"/>
    <w:basedOn w:val="jab"/>
    <w:rsid w:val="00CD2CB6"/>
    <w:rPr>
      <w:rFonts w:ascii="Century" w:eastAsia="Century" w:hAnsi="Century"/>
    </w:rPr>
  </w:style>
  <w:style w:type="paragraph" w:customStyle="1" w:styleId="jac">
    <w:name w:val="目次附則（ja）"/>
    <w:basedOn w:val="a"/>
    <w:rsid w:val="00CD2CB6"/>
    <w:pPr>
      <w:widowControl w:val="0"/>
      <w:ind w:left="439" w:hanging="219"/>
    </w:pPr>
    <w:rPr>
      <w:rFonts w:ascii="ＭＳ 明朝" w:eastAsia="ＭＳ 明朝" w:hAnsi="ＭＳ 明朝" w:cs="Kochi Mincho"/>
    </w:rPr>
  </w:style>
  <w:style w:type="paragraph" w:customStyle="1" w:styleId="enc">
    <w:name w:val="目次附則（en）"/>
    <w:basedOn w:val="jac"/>
    <w:rsid w:val="00CD2CB6"/>
    <w:rPr>
      <w:rFonts w:ascii="Century" w:eastAsia="Century" w:hAnsi="Century" w:cs="Century"/>
    </w:rPr>
  </w:style>
  <w:style w:type="paragraph" w:customStyle="1" w:styleId="jad">
    <w:name w:val="目次前文（ja）"/>
    <w:basedOn w:val="jac"/>
    <w:rsid w:val="00CD2CB6"/>
  </w:style>
  <w:style w:type="paragraph" w:customStyle="1" w:styleId="end">
    <w:name w:val="目次前文（en）"/>
    <w:basedOn w:val="enc"/>
    <w:rsid w:val="00CD2CB6"/>
  </w:style>
  <w:style w:type="paragraph" w:customStyle="1" w:styleId="jae">
    <w:name w:val="制定文（ja）"/>
    <w:basedOn w:val="a"/>
    <w:rsid w:val="00CD2CB6"/>
    <w:pPr>
      <w:widowControl w:val="0"/>
      <w:ind w:firstLine="219"/>
    </w:pPr>
    <w:rPr>
      <w:rFonts w:ascii="ＭＳ 明朝" w:eastAsia="ＭＳ 明朝" w:hAnsi="ＭＳ 明朝" w:cs="ＭＳ 明朝"/>
    </w:rPr>
  </w:style>
  <w:style w:type="paragraph" w:customStyle="1" w:styleId="ene">
    <w:name w:val="制定文（en）"/>
    <w:basedOn w:val="jae"/>
    <w:rsid w:val="00CD2CB6"/>
    <w:rPr>
      <w:rFonts w:ascii="Century" w:eastAsia="Century" w:hAnsi="Century" w:cs="Century"/>
    </w:rPr>
  </w:style>
  <w:style w:type="paragraph" w:customStyle="1" w:styleId="jaf">
    <w:name w:val="法令番号（ja）"/>
    <w:basedOn w:val="a"/>
    <w:rsid w:val="00CD2CB6"/>
    <w:pPr>
      <w:widowControl w:val="0"/>
      <w:jc w:val="right"/>
    </w:pPr>
    <w:rPr>
      <w:rFonts w:ascii="ＭＳ 明朝" w:eastAsia="ＭＳ 明朝" w:hAnsi="ＭＳ 明朝" w:cs="Kochi Mincho"/>
    </w:rPr>
  </w:style>
  <w:style w:type="paragraph" w:customStyle="1" w:styleId="enf">
    <w:name w:val="法令番号（en）"/>
    <w:basedOn w:val="jaf"/>
    <w:rsid w:val="00CD2CB6"/>
    <w:rPr>
      <w:rFonts w:ascii="Century" w:eastAsia="Century" w:hAnsi="Century" w:cs="Century"/>
    </w:rPr>
  </w:style>
  <w:style w:type="paragraph" w:customStyle="1" w:styleId="jaf0">
    <w:name w:val="目次（ja）"/>
    <w:basedOn w:val="a"/>
    <w:rsid w:val="00CD2CB6"/>
    <w:rPr>
      <w:rFonts w:ascii="ＭＳ 明朝" w:eastAsia="ＭＳ 明朝" w:hAnsi="ＭＳ 明朝"/>
    </w:rPr>
  </w:style>
  <w:style w:type="paragraph" w:customStyle="1" w:styleId="enf0">
    <w:name w:val="目次（en）"/>
    <w:basedOn w:val="jaf0"/>
    <w:rsid w:val="00CD2CB6"/>
    <w:rPr>
      <w:rFonts w:ascii="Century" w:eastAsia="Century" w:hAnsi="Century"/>
    </w:rPr>
  </w:style>
  <w:style w:type="paragraph" w:customStyle="1" w:styleId="jaf1">
    <w:name w:val="編（ja）"/>
    <w:basedOn w:val="a"/>
    <w:rsid w:val="00CD2CB6"/>
    <w:pPr>
      <w:widowControl w:val="0"/>
      <w:ind w:left="661" w:hanging="221"/>
    </w:pPr>
    <w:rPr>
      <w:rFonts w:ascii="ＭＳ 明朝" w:eastAsia="ＭＳ 明朝" w:hAnsi="ＭＳ 明朝" w:cs="ＭＳ 明朝"/>
      <w:b/>
    </w:rPr>
  </w:style>
  <w:style w:type="paragraph" w:customStyle="1" w:styleId="enf1">
    <w:name w:val="編（en）"/>
    <w:basedOn w:val="jaf1"/>
    <w:rsid w:val="00CD2CB6"/>
    <w:rPr>
      <w:rFonts w:ascii="Century" w:eastAsia="Century" w:hAnsi="Century" w:cs="Century"/>
    </w:rPr>
  </w:style>
  <w:style w:type="paragraph" w:customStyle="1" w:styleId="jaf2">
    <w:name w:val="節（ja）"/>
    <w:basedOn w:val="a"/>
    <w:rsid w:val="00CD2CB6"/>
    <w:pPr>
      <w:widowControl w:val="0"/>
      <w:ind w:left="1101" w:hanging="221"/>
    </w:pPr>
    <w:rPr>
      <w:rFonts w:ascii="ＭＳ 明朝" w:eastAsia="ＭＳ 明朝" w:hAnsi="ＭＳ 明朝" w:cs="ＭＳ 明朝"/>
      <w:b/>
    </w:rPr>
  </w:style>
  <w:style w:type="paragraph" w:customStyle="1" w:styleId="enf2">
    <w:name w:val="節（en）"/>
    <w:basedOn w:val="jaf2"/>
    <w:rsid w:val="00CD2CB6"/>
    <w:rPr>
      <w:rFonts w:ascii="Century" w:eastAsia="Century" w:hAnsi="Century" w:cs="Century"/>
    </w:rPr>
  </w:style>
  <w:style w:type="paragraph" w:customStyle="1" w:styleId="jaf3">
    <w:name w:val="条（ja）"/>
    <w:basedOn w:val="a"/>
    <w:rsid w:val="00CD2CB6"/>
    <w:pPr>
      <w:widowControl w:val="0"/>
      <w:ind w:left="219" w:hanging="219"/>
    </w:pPr>
    <w:rPr>
      <w:rFonts w:ascii="ＭＳ 明朝" w:eastAsia="ＭＳ 明朝" w:hAnsi="ＭＳ 明朝" w:cs="ＭＳ 明朝"/>
    </w:rPr>
  </w:style>
  <w:style w:type="paragraph" w:customStyle="1" w:styleId="enf3">
    <w:name w:val="条（en）"/>
    <w:basedOn w:val="jaf3"/>
    <w:rsid w:val="00CD2CB6"/>
    <w:rPr>
      <w:rFonts w:ascii="Century" w:eastAsia="Century" w:hAnsi="Century" w:cs="Century"/>
    </w:rPr>
  </w:style>
  <w:style w:type="paragraph" w:customStyle="1" w:styleId="jaf4">
    <w:name w:val="項（ja）"/>
    <w:basedOn w:val="a"/>
    <w:rsid w:val="00CD2CB6"/>
    <w:pPr>
      <w:widowControl w:val="0"/>
      <w:ind w:left="219" w:hanging="219"/>
    </w:pPr>
    <w:rPr>
      <w:rFonts w:ascii="ＭＳ 明朝" w:eastAsia="ＭＳ 明朝" w:hAnsi="ＭＳ 明朝" w:cs="ＭＳ 明朝"/>
    </w:rPr>
  </w:style>
  <w:style w:type="paragraph" w:customStyle="1" w:styleId="enf4">
    <w:name w:val="項（en）"/>
    <w:basedOn w:val="jaf4"/>
    <w:rsid w:val="00CD2CB6"/>
    <w:rPr>
      <w:rFonts w:ascii="Century" w:eastAsia="Century" w:hAnsi="Century" w:cs="Century"/>
    </w:rPr>
  </w:style>
  <w:style w:type="paragraph" w:customStyle="1" w:styleId="jaf5">
    <w:name w:val="項　番号なし（ja）"/>
    <w:basedOn w:val="a"/>
    <w:rsid w:val="00CD2CB6"/>
    <w:pPr>
      <w:widowControl w:val="0"/>
      <w:ind w:firstLine="221"/>
    </w:pPr>
    <w:rPr>
      <w:rFonts w:ascii="ＭＳ 明朝" w:eastAsia="ＭＳ 明朝" w:hAnsi="ＭＳ 明朝" w:cs="ＭＳ 明朝"/>
    </w:rPr>
  </w:style>
  <w:style w:type="paragraph" w:customStyle="1" w:styleId="enf5">
    <w:name w:val="項　番号なし（en）"/>
    <w:basedOn w:val="jaf5"/>
    <w:rsid w:val="00CD2CB6"/>
    <w:rPr>
      <w:rFonts w:ascii="Century" w:eastAsia="Century" w:hAnsi="Century" w:cs="Century"/>
    </w:rPr>
  </w:style>
  <w:style w:type="paragraph" w:customStyle="1" w:styleId="jaf6">
    <w:name w:val="号（ja）"/>
    <w:basedOn w:val="a"/>
    <w:rsid w:val="00CD2CB6"/>
    <w:pPr>
      <w:widowControl w:val="0"/>
      <w:ind w:left="439" w:hanging="219"/>
    </w:pPr>
    <w:rPr>
      <w:rFonts w:ascii="ＭＳ 明朝" w:eastAsia="ＭＳ 明朝" w:hAnsi="ＭＳ 明朝" w:cs="ＭＳ 明朝"/>
    </w:rPr>
  </w:style>
  <w:style w:type="paragraph" w:customStyle="1" w:styleId="enf6">
    <w:name w:val="号（en）"/>
    <w:basedOn w:val="jaf6"/>
    <w:rsid w:val="00CD2CB6"/>
    <w:rPr>
      <w:rFonts w:ascii="Century" w:eastAsia="Century" w:hAnsi="Century" w:cs="Century"/>
    </w:rPr>
  </w:style>
  <w:style w:type="paragraph" w:customStyle="1" w:styleId="jaf7">
    <w:name w:val="号　番号なし（ja）"/>
    <w:basedOn w:val="a"/>
    <w:rsid w:val="00CD2CB6"/>
    <w:pPr>
      <w:widowControl w:val="0"/>
      <w:ind w:left="221" w:firstLine="221"/>
    </w:pPr>
    <w:rPr>
      <w:rFonts w:ascii="ＭＳ 明朝" w:eastAsia="ＭＳ 明朝" w:hAnsi="ＭＳ 明朝" w:cs="ＭＳ 明朝"/>
    </w:rPr>
  </w:style>
  <w:style w:type="paragraph" w:customStyle="1" w:styleId="enf7">
    <w:name w:val="号　番号なし（en）"/>
    <w:basedOn w:val="jaf7"/>
    <w:rsid w:val="00CD2CB6"/>
    <w:rPr>
      <w:rFonts w:ascii="Century" w:eastAsia="Century" w:hAnsi="Century" w:cs="Century"/>
    </w:rPr>
  </w:style>
  <w:style w:type="paragraph" w:customStyle="1" w:styleId="jaf8">
    <w:name w:val="備考号（ja）"/>
    <w:basedOn w:val="a"/>
    <w:rsid w:val="00CD2CB6"/>
    <w:pPr>
      <w:widowControl w:val="0"/>
      <w:ind w:left="659" w:hanging="219"/>
    </w:pPr>
    <w:rPr>
      <w:rFonts w:ascii="ＭＳ 明朝" w:eastAsia="ＭＳ 明朝" w:hAnsi="ＭＳ 明朝" w:cs="ＭＳ 明朝"/>
    </w:rPr>
  </w:style>
  <w:style w:type="paragraph" w:customStyle="1" w:styleId="enf8">
    <w:name w:val="備考号（en）"/>
    <w:basedOn w:val="jaf8"/>
    <w:rsid w:val="00CD2CB6"/>
    <w:rPr>
      <w:rFonts w:ascii="Century" w:eastAsia="Century" w:hAnsi="Century" w:cs="Century"/>
    </w:rPr>
  </w:style>
  <w:style w:type="paragraph" w:customStyle="1" w:styleId="jaf9">
    <w:name w:val="号細分（ja）"/>
    <w:basedOn w:val="a"/>
    <w:rsid w:val="00CD2CB6"/>
    <w:pPr>
      <w:widowControl w:val="0"/>
      <w:ind w:left="659" w:hanging="219"/>
    </w:pPr>
    <w:rPr>
      <w:rFonts w:ascii="ＭＳ 明朝" w:eastAsia="ＭＳ 明朝" w:hAnsi="ＭＳ 明朝" w:cs="ＭＳ 明朝"/>
    </w:rPr>
  </w:style>
  <w:style w:type="paragraph" w:customStyle="1" w:styleId="enf9">
    <w:name w:val="号細分（en）"/>
    <w:basedOn w:val="jaf9"/>
    <w:rsid w:val="00CD2CB6"/>
    <w:rPr>
      <w:rFonts w:ascii="Century" w:eastAsia="Century" w:hAnsi="Century" w:cs="Century"/>
    </w:rPr>
  </w:style>
  <w:style w:type="paragraph" w:customStyle="1" w:styleId="jafa">
    <w:name w:val="号細分　番号なし（ja）"/>
    <w:basedOn w:val="a"/>
    <w:rsid w:val="00CD2CB6"/>
    <w:pPr>
      <w:widowControl w:val="0"/>
      <w:ind w:left="439"/>
    </w:pPr>
    <w:rPr>
      <w:rFonts w:ascii="ＭＳ 明朝" w:eastAsia="ＭＳ 明朝" w:hAnsi="ＭＳ 明朝" w:cs="ＭＳ 明朝"/>
    </w:rPr>
  </w:style>
  <w:style w:type="paragraph" w:customStyle="1" w:styleId="enfa">
    <w:name w:val="号細分　番号なし（en）"/>
    <w:basedOn w:val="jafa"/>
    <w:rsid w:val="00CD2CB6"/>
    <w:rPr>
      <w:rFonts w:ascii="Century" w:eastAsia="Century" w:hAnsi="Century" w:cs="Century"/>
    </w:rPr>
  </w:style>
  <w:style w:type="paragraph" w:customStyle="1" w:styleId="jafb">
    <w:name w:val="備考号細分（ja）"/>
    <w:basedOn w:val="a"/>
    <w:rsid w:val="00CD2CB6"/>
    <w:pPr>
      <w:widowControl w:val="0"/>
      <w:ind w:left="1099" w:hanging="439"/>
    </w:pPr>
    <w:rPr>
      <w:rFonts w:ascii="ＭＳ 明朝" w:eastAsia="ＭＳ 明朝" w:hAnsi="ＭＳ 明朝" w:cs="ＭＳ 明朝"/>
    </w:rPr>
  </w:style>
  <w:style w:type="paragraph" w:customStyle="1" w:styleId="enfb">
    <w:name w:val="備考号細分（en）"/>
    <w:basedOn w:val="jafb"/>
    <w:rsid w:val="00CD2CB6"/>
    <w:rPr>
      <w:rFonts w:ascii="Century" w:eastAsia="Century" w:hAnsi="Century" w:cs="Century"/>
    </w:rPr>
  </w:style>
  <w:style w:type="paragraph" w:customStyle="1" w:styleId="jafc">
    <w:name w:val="号細細分（ja）"/>
    <w:basedOn w:val="a"/>
    <w:rsid w:val="00CD2CB6"/>
    <w:pPr>
      <w:widowControl w:val="0"/>
      <w:ind w:left="1099" w:hanging="439"/>
    </w:pPr>
    <w:rPr>
      <w:rFonts w:ascii="ＭＳ 明朝" w:eastAsia="ＭＳ 明朝" w:hAnsi="ＭＳ 明朝" w:cs="ＭＳ 明朝"/>
    </w:rPr>
  </w:style>
  <w:style w:type="paragraph" w:customStyle="1" w:styleId="enfc">
    <w:name w:val="号細細分（en）"/>
    <w:basedOn w:val="jafc"/>
    <w:rsid w:val="00CD2CB6"/>
    <w:rPr>
      <w:rFonts w:ascii="Century" w:eastAsia="Century" w:hAnsi="Century" w:cs="Century"/>
    </w:rPr>
  </w:style>
  <w:style w:type="paragraph" w:customStyle="1" w:styleId="jafd">
    <w:name w:val="号細細分　番号なし（ja）"/>
    <w:basedOn w:val="a"/>
    <w:rsid w:val="00CD2CB6"/>
    <w:pPr>
      <w:widowControl w:val="0"/>
      <w:ind w:left="659"/>
    </w:pPr>
    <w:rPr>
      <w:rFonts w:ascii="ＭＳ 明朝" w:eastAsia="ＭＳ 明朝" w:hAnsi="ＭＳ 明朝" w:cs="ＭＳ 明朝"/>
    </w:rPr>
  </w:style>
  <w:style w:type="paragraph" w:customStyle="1" w:styleId="enfd">
    <w:name w:val="号細細分　番号なし（en）"/>
    <w:basedOn w:val="jafd"/>
    <w:rsid w:val="00CD2CB6"/>
    <w:rPr>
      <w:rFonts w:ascii="Century" w:eastAsia="Century" w:hAnsi="Century" w:cs="Century"/>
    </w:rPr>
  </w:style>
  <w:style w:type="paragraph" w:customStyle="1" w:styleId="jafe">
    <w:name w:val="備考号細細分（ja）"/>
    <w:basedOn w:val="a"/>
    <w:rsid w:val="00CD2CB6"/>
    <w:pPr>
      <w:widowControl w:val="0"/>
      <w:ind w:left="1319" w:hanging="439"/>
    </w:pPr>
    <w:rPr>
      <w:rFonts w:ascii="ＭＳ 明朝" w:eastAsia="ＭＳ 明朝" w:hAnsi="ＭＳ 明朝" w:cs="ＭＳ 明朝"/>
    </w:rPr>
  </w:style>
  <w:style w:type="paragraph" w:customStyle="1" w:styleId="enfe">
    <w:name w:val="備考号細細分（en）"/>
    <w:basedOn w:val="jafe"/>
    <w:rsid w:val="00CD2CB6"/>
    <w:rPr>
      <w:rFonts w:ascii="Century" w:eastAsia="Century" w:hAnsi="Century" w:cs="Century"/>
    </w:rPr>
  </w:style>
  <w:style w:type="paragraph" w:customStyle="1" w:styleId="jaff">
    <w:name w:val="号細細細分（ja）"/>
    <w:basedOn w:val="a"/>
    <w:rsid w:val="00CD2CB6"/>
    <w:pPr>
      <w:widowControl w:val="0"/>
      <w:ind w:left="1319" w:hanging="439"/>
    </w:pPr>
    <w:rPr>
      <w:rFonts w:ascii="ＭＳ 明朝" w:eastAsia="ＭＳ 明朝" w:hAnsi="ＭＳ 明朝" w:cs="ＭＳ 明朝"/>
    </w:rPr>
  </w:style>
  <w:style w:type="paragraph" w:customStyle="1" w:styleId="enff">
    <w:name w:val="号細細細分（en）"/>
    <w:basedOn w:val="jaff"/>
    <w:rsid w:val="00CD2CB6"/>
    <w:rPr>
      <w:rFonts w:ascii="Century" w:eastAsia="Century" w:hAnsi="Century" w:cs="Century"/>
    </w:rPr>
  </w:style>
  <w:style w:type="paragraph" w:customStyle="1" w:styleId="jaff0">
    <w:name w:val="号細細細分　番号なし（ja）"/>
    <w:basedOn w:val="a"/>
    <w:rsid w:val="00CD2CB6"/>
    <w:pPr>
      <w:widowControl w:val="0"/>
      <w:ind w:left="879"/>
    </w:pPr>
    <w:rPr>
      <w:rFonts w:ascii="ＭＳ 明朝" w:eastAsia="ＭＳ 明朝" w:hAnsi="ＭＳ 明朝" w:cs="ＭＳ 明朝"/>
    </w:rPr>
  </w:style>
  <w:style w:type="paragraph" w:customStyle="1" w:styleId="enff0">
    <w:name w:val="号細細細分　番号なし（en）"/>
    <w:basedOn w:val="jaff0"/>
    <w:rsid w:val="00CD2CB6"/>
    <w:rPr>
      <w:rFonts w:ascii="Century" w:eastAsia="Century" w:hAnsi="Century" w:cs="Century"/>
    </w:rPr>
  </w:style>
  <w:style w:type="paragraph" w:customStyle="1" w:styleId="jaff1">
    <w:name w:val="備考号細細細分（ja）"/>
    <w:basedOn w:val="a"/>
    <w:rsid w:val="00CD2CB6"/>
    <w:pPr>
      <w:widowControl w:val="0"/>
      <w:ind w:left="1539" w:hanging="439"/>
    </w:pPr>
    <w:rPr>
      <w:rFonts w:ascii="ＭＳ 明朝" w:eastAsia="ＭＳ 明朝" w:hAnsi="ＭＳ 明朝" w:cs="ＭＳ 明朝"/>
    </w:rPr>
  </w:style>
  <w:style w:type="paragraph" w:customStyle="1" w:styleId="enff1">
    <w:name w:val="備考号細細細分（en）"/>
    <w:basedOn w:val="jaff1"/>
    <w:rsid w:val="00CD2CB6"/>
    <w:rPr>
      <w:rFonts w:ascii="Century" w:eastAsia="Century" w:hAnsi="Century" w:cs="Century"/>
    </w:rPr>
  </w:style>
  <w:style w:type="paragraph" w:customStyle="1" w:styleId="jaff2">
    <w:name w:val="類（ja）"/>
    <w:basedOn w:val="a"/>
    <w:rsid w:val="00CD2CB6"/>
    <w:pPr>
      <w:widowControl w:val="0"/>
      <w:ind w:left="439" w:hanging="219"/>
    </w:pPr>
    <w:rPr>
      <w:rFonts w:ascii="ＭＳ 明朝" w:eastAsia="ＭＳ 明朝" w:hAnsi="ＭＳ 明朝" w:cs="ＭＳ 明朝"/>
    </w:rPr>
  </w:style>
  <w:style w:type="paragraph" w:customStyle="1" w:styleId="enff2">
    <w:name w:val="類（en）"/>
    <w:basedOn w:val="jaff2"/>
    <w:rsid w:val="00CD2CB6"/>
    <w:rPr>
      <w:rFonts w:ascii="Century" w:eastAsia="Century" w:hAnsi="Century" w:cs="Century"/>
    </w:rPr>
  </w:style>
  <w:style w:type="paragraph" w:customStyle="1" w:styleId="jaff3">
    <w:name w:val="公布文（ja）"/>
    <w:basedOn w:val="a"/>
    <w:rsid w:val="00CD2CB6"/>
    <w:pPr>
      <w:widowControl w:val="0"/>
      <w:ind w:firstLine="219"/>
    </w:pPr>
    <w:rPr>
      <w:rFonts w:ascii="ＭＳ 明朝" w:eastAsia="ＭＳ 明朝" w:hAnsi="ＭＳ 明朝" w:cs="ＭＳ 明朝"/>
    </w:rPr>
  </w:style>
  <w:style w:type="paragraph" w:customStyle="1" w:styleId="enff3">
    <w:name w:val="公布文（en）"/>
    <w:basedOn w:val="jaff3"/>
    <w:rsid w:val="00CD2CB6"/>
    <w:rPr>
      <w:rFonts w:ascii="Century" w:eastAsia="Century" w:hAnsi="Century" w:cs="Century"/>
    </w:rPr>
  </w:style>
  <w:style w:type="paragraph" w:customStyle="1" w:styleId="jaen">
    <w:name w:val="表（ja：en）"/>
    <w:basedOn w:val="a"/>
    <w:rsid w:val="00CD2CB6"/>
    <w:pPr>
      <w:widowControl w:val="0"/>
      <w:snapToGrid w:val="0"/>
    </w:pPr>
    <w:rPr>
      <w:rFonts w:ascii="Century" w:eastAsia="ＭＳ 明朝" w:hAnsi="Century"/>
    </w:rPr>
  </w:style>
  <w:style w:type="paragraph" w:customStyle="1" w:styleId="jaff4">
    <w:name w:val="備考（ja）"/>
    <w:basedOn w:val="a"/>
    <w:rsid w:val="00CD2CB6"/>
    <w:pPr>
      <w:widowControl w:val="0"/>
      <w:ind w:left="439" w:hanging="219"/>
    </w:pPr>
    <w:rPr>
      <w:rFonts w:ascii="ＭＳ 明朝" w:eastAsia="ＭＳ 明朝" w:hAnsi="ＭＳ 明朝" w:cs="ＭＳ 明朝"/>
    </w:rPr>
  </w:style>
  <w:style w:type="paragraph" w:customStyle="1" w:styleId="enff4">
    <w:name w:val="備考（en）"/>
    <w:basedOn w:val="jaff4"/>
    <w:rsid w:val="00CD2CB6"/>
    <w:rPr>
      <w:rFonts w:ascii="Century" w:eastAsia="Century" w:hAnsi="Century" w:cs="Century"/>
    </w:rPr>
  </w:style>
  <w:style w:type="paragraph" w:customStyle="1" w:styleId="jaff5">
    <w:name w:val="表タイトル（ja）"/>
    <w:basedOn w:val="a"/>
    <w:rsid w:val="00CD2CB6"/>
    <w:pPr>
      <w:widowControl w:val="0"/>
      <w:ind w:left="219"/>
    </w:pPr>
    <w:rPr>
      <w:rFonts w:ascii="ＭＳ 明朝" w:eastAsia="ＭＳ 明朝" w:hAnsi="ＭＳ 明朝" w:cs="ＭＳ 明朝"/>
    </w:rPr>
  </w:style>
  <w:style w:type="paragraph" w:customStyle="1" w:styleId="enff5">
    <w:name w:val="表タイトル（en）"/>
    <w:basedOn w:val="jaff5"/>
    <w:rsid w:val="00CD2CB6"/>
    <w:rPr>
      <w:rFonts w:ascii="Century" w:eastAsia="Century" w:hAnsi="Century" w:cs="Century"/>
    </w:rPr>
  </w:style>
  <w:style w:type="paragraph" w:customStyle="1" w:styleId="jaff6">
    <w:name w:val="改正規定文（ja）"/>
    <w:basedOn w:val="a"/>
    <w:rsid w:val="00CD2CB6"/>
    <w:pPr>
      <w:widowControl w:val="0"/>
      <w:ind w:left="219" w:firstLine="219"/>
    </w:pPr>
    <w:rPr>
      <w:rFonts w:ascii="ＭＳ 明朝" w:eastAsia="ＭＳ 明朝" w:hAnsi="ＭＳ 明朝" w:cs="ＭＳ 明朝"/>
    </w:rPr>
  </w:style>
  <w:style w:type="paragraph" w:customStyle="1" w:styleId="enff6">
    <w:name w:val="改正規定文（en）"/>
    <w:basedOn w:val="jaff6"/>
    <w:rsid w:val="00CD2CB6"/>
    <w:rPr>
      <w:rFonts w:ascii="Century" w:eastAsia="Century" w:hAnsi="Century" w:cs="Century"/>
    </w:rPr>
  </w:style>
  <w:style w:type="paragraph" w:customStyle="1" w:styleId="jaff7">
    <w:name w:val="付記（ja）"/>
    <w:basedOn w:val="a"/>
    <w:rsid w:val="00CD2CB6"/>
    <w:pPr>
      <w:widowControl w:val="0"/>
      <w:ind w:left="219" w:firstLine="219"/>
    </w:pPr>
    <w:rPr>
      <w:rFonts w:ascii="ＭＳ 明朝" w:eastAsia="ＭＳ 明朝" w:hAnsi="ＭＳ 明朝" w:cs="ＭＳ 明朝"/>
    </w:rPr>
  </w:style>
  <w:style w:type="paragraph" w:customStyle="1" w:styleId="enff7">
    <w:name w:val="付記（en）"/>
    <w:basedOn w:val="jaff7"/>
    <w:rsid w:val="00CD2CB6"/>
    <w:rPr>
      <w:rFonts w:ascii="Century" w:eastAsia="Century" w:hAnsi="Century" w:cs="Century"/>
    </w:rPr>
  </w:style>
  <w:style w:type="paragraph" w:customStyle="1" w:styleId="jaff8">
    <w:name w:val="様式名（ja）"/>
    <w:basedOn w:val="a"/>
    <w:rsid w:val="00CD2CB6"/>
    <w:pPr>
      <w:widowControl w:val="0"/>
      <w:ind w:left="439" w:hanging="219"/>
    </w:pPr>
    <w:rPr>
      <w:rFonts w:ascii="ＭＳ 明朝" w:eastAsia="ＭＳ 明朝" w:hAnsi="ＭＳ 明朝" w:cs="ＭＳ 明朝"/>
    </w:rPr>
  </w:style>
  <w:style w:type="paragraph" w:customStyle="1" w:styleId="enff8">
    <w:name w:val="様式名（en）"/>
    <w:basedOn w:val="jaff8"/>
    <w:rsid w:val="00CD2CB6"/>
    <w:rPr>
      <w:rFonts w:ascii="Century" w:eastAsia="Century" w:hAnsi="Century" w:cs="Century"/>
    </w:rPr>
  </w:style>
  <w:style w:type="paragraph" w:customStyle="1" w:styleId="jaff9">
    <w:name w:val="様式項目（ja）"/>
    <w:basedOn w:val="a"/>
    <w:rsid w:val="00CD2CB6"/>
    <w:pPr>
      <w:widowControl w:val="0"/>
      <w:ind w:left="221" w:firstLine="221"/>
    </w:pPr>
    <w:rPr>
      <w:rFonts w:ascii="ＭＳ 明朝" w:eastAsia="ＭＳ 明朝" w:hAnsi="ＭＳ 明朝" w:cs="ＭＳ 明朝"/>
    </w:rPr>
  </w:style>
  <w:style w:type="paragraph" w:customStyle="1" w:styleId="enff9">
    <w:name w:val="様式項目（en）"/>
    <w:basedOn w:val="jaff9"/>
    <w:rsid w:val="00CD2CB6"/>
    <w:rPr>
      <w:rFonts w:ascii="Century" w:eastAsia="Century" w:hAnsi="Century" w:cs="Century"/>
    </w:rPr>
  </w:style>
  <w:style w:type="table" w:customStyle="1" w:styleId="1">
    <w:name w:val="表1"/>
    <w:rsid w:val="00CD2CB6"/>
    <w:tblPr>
      <w:tblInd w:w="340" w:type="dxa"/>
      <w:tblCellMar>
        <w:top w:w="0" w:type="dxa"/>
        <w:left w:w="0" w:type="dxa"/>
        <w:bottom w:w="0" w:type="dxa"/>
        <w:right w:w="0" w:type="dxa"/>
      </w:tblCellMar>
    </w:tblPr>
  </w:style>
  <w:style w:type="numbering" w:customStyle="1" w:styleId="WW8Num1">
    <w:name w:val="WW8Num1"/>
    <w:rsid w:val="00CD2CB6"/>
    <w:pPr>
      <w:numPr>
        <w:numId w:val="2"/>
      </w:numPr>
    </w:pPr>
  </w:style>
  <w:style w:type="numbering" w:customStyle="1" w:styleId="WW8Num2">
    <w:name w:val="WW8Num2"/>
    <w:rsid w:val="00CD2CB6"/>
    <w:pPr>
      <w:numPr>
        <w:numId w:val="3"/>
      </w:numPr>
    </w:pPr>
  </w:style>
  <w:style w:type="numbering" w:customStyle="1" w:styleId="WW8Num3">
    <w:name w:val="WW8Num3"/>
    <w:rsid w:val="00CD2CB6"/>
    <w:pPr>
      <w:numPr>
        <w:numId w:val="4"/>
      </w:numPr>
    </w:pPr>
  </w:style>
  <w:style w:type="numbering" w:customStyle="1" w:styleId="WW8Num4">
    <w:name w:val="WW8Num4"/>
    <w:rsid w:val="00CD2CB6"/>
    <w:pPr>
      <w:numPr>
        <w:numId w:val="5"/>
      </w:numPr>
    </w:pPr>
  </w:style>
  <w:style w:type="numbering" w:customStyle="1" w:styleId="WW8Num5">
    <w:name w:val="WW8Num5"/>
    <w:rsid w:val="00CD2CB6"/>
    <w:pPr>
      <w:numPr>
        <w:numId w:val="6"/>
      </w:numPr>
    </w:pPr>
  </w:style>
  <w:style w:type="numbering" w:customStyle="1" w:styleId="WW8Num6">
    <w:name w:val="WW8Num6"/>
    <w:rsid w:val="00CD2CB6"/>
    <w:pPr>
      <w:numPr>
        <w:numId w:val="7"/>
      </w:numPr>
    </w:pPr>
  </w:style>
  <w:style w:type="numbering" w:customStyle="1" w:styleId="WW8Num7">
    <w:name w:val="WW8Num7"/>
    <w:rsid w:val="00CD2CB6"/>
    <w:pPr>
      <w:numPr>
        <w:numId w:val="8"/>
      </w:numPr>
    </w:pPr>
  </w:style>
  <w:style w:type="numbering" w:customStyle="1" w:styleId="WW8Num8">
    <w:name w:val="WW8Num8"/>
    <w:rsid w:val="00CD2CB6"/>
    <w:pPr>
      <w:numPr>
        <w:numId w:val="9"/>
      </w:numPr>
    </w:pPr>
  </w:style>
  <w:style w:type="numbering" w:customStyle="1" w:styleId="WW8Num9">
    <w:name w:val="WW8Num9"/>
    <w:rsid w:val="00CD2CB6"/>
    <w:pPr>
      <w:numPr>
        <w:numId w:val="10"/>
      </w:numPr>
    </w:pPr>
  </w:style>
  <w:style w:type="numbering" w:customStyle="1" w:styleId="WW8Num10">
    <w:name w:val="WW8Num10"/>
    <w:rsid w:val="00CD2CB6"/>
    <w:pPr>
      <w:numPr>
        <w:numId w:val="11"/>
      </w:numPr>
    </w:pPr>
  </w:style>
  <w:style w:type="numbering" w:customStyle="1" w:styleId="WW8Num11">
    <w:name w:val="WW8Num11"/>
    <w:rsid w:val="00CD2CB6"/>
    <w:pPr>
      <w:numPr>
        <w:numId w:val="12"/>
      </w:numPr>
    </w:pPr>
  </w:style>
  <w:style w:type="numbering" w:customStyle="1" w:styleId="WW8Num12">
    <w:name w:val="WW8Num12"/>
    <w:rsid w:val="00CD2CB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2025-10-27T23:45:00Z</dcterms:created>
  <dcterms:modified xsi:type="dcterms:W3CDTF">2025-10-27T23:45:00Z</dcterms:modified>
</cp:coreProperties>
</file>