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31038F" w14:textId="77777777" w:rsidR="005418F9" w:rsidRDefault="006C07BC" w:rsidP="00AE07CE">
      <w:r w:rsidRPr="00AC6B55">
        <w:rPr>
          <w:sz w:val="32"/>
          <w:szCs w:val="32"/>
        </w:rPr>
        <w:t>Regulations for Enforcement of the Act on Improving Transparency and Fairness of Specified Digital Platforms</w:t>
      </w:r>
      <w:r w:rsidR="006117DF" w:rsidRPr="00AC6B55">
        <w:rPr>
          <w:rFonts w:hint="eastAsia"/>
          <w:sz w:val="32"/>
          <w:szCs w:val="32"/>
        </w:rPr>
        <w:t xml:space="preserve"> </w:t>
      </w:r>
      <w:r w:rsidRPr="00AC6B55">
        <w:rPr>
          <w:sz w:val="32"/>
          <w:szCs w:val="32"/>
        </w:rPr>
        <w:t>(Order of the Ministry of Economy, Trade and Industry No. 1 of February 1, 2021)</w:t>
      </w:r>
    </w:p>
    <w:p w14:paraId="7194246A" w14:textId="17EB7DC8" w:rsidR="00AC6B55" w:rsidRDefault="00AC6B55" w:rsidP="00AC6B55">
      <w:pPr>
        <w:jc w:val="right"/>
        <w:rPr>
          <w:rFonts w:hint="eastAsia"/>
        </w:rPr>
      </w:pPr>
      <w:r>
        <w:rPr>
          <w:rFonts w:cs="Century" w:hint="eastAsia"/>
          <w:kern w:val="0"/>
          <w:szCs w:val="22"/>
        </w:rPr>
        <w:t>(</w:t>
      </w:r>
      <w:r w:rsidRPr="007B4CA6">
        <w:rPr>
          <w:rFonts w:cs="Century"/>
          <w:kern w:val="0"/>
          <w:szCs w:val="22"/>
        </w:rPr>
        <w:t>Order of the Ministry of Economy, Trade and Industry No. 1 of 2021</w:t>
      </w:r>
      <w:r>
        <w:rPr>
          <w:rFonts w:cs="Century" w:hint="eastAsia"/>
          <w:kern w:val="0"/>
          <w:szCs w:val="22"/>
        </w:rPr>
        <w:t>)</w:t>
      </w:r>
    </w:p>
    <w:p w14:paraId="42B4B782" w14:textId="77777777" w:rsidR="005418F9" w:rsidRDefault="00AE07CE" w:rsidP="00AE07CE">
      <w:r>
        <w:t>Pursuant to the provisions of the Act on Improving Transparency and Fairness of Specified Digital Platforms (Act No. 38 of 2020) and to enforce the Act, the Regulations for Enforcement of the Act on Improving Transparency and Fairness of Specified Digital Platforms is established as follows.</w:t>
      </w:r>
    </w:p>
    <w:p w14:paraId="612298E0" w14:textId="77777777" w:rsidR="005418F9" w:rsidRDefault="0038222F" w:rsidP="0038222F">
      <w:r>
        <w:t>(Definition of Terms)</w:t>
      </w:r>
    </w:p>
    <w:p w14:paraId="222833C6" w14:textId="77777777" w:rsidR="005418F9" w:rsidRDefault="0038222F" w:rsidP="0038222F">
      <w:r>
        <w:t>Article 1</w:t>
      </w:r>
      <w:r w:rsidR="006469DC">
        <w:rPr>
          <w:rFonts w:hint="eastAsia"/>
        </w:rPr>
        <w:t xml:space="preserve"> </w:t>
      </w:r>
      <w:r>
        <w:t>Unless specifically provided in this Ministerial Order, the terms used in this Ministerial Order follows the definitions in the Act on Improving Transparency and Fairness of Specified Digital Platforms (Act No. 38 of 2020; referred to as "Act" below) and the Cabinet Order for Specifying the Business Category and Scale Under in Article 4, Paragraph (1) of the Act on Improving Transparency and Fairness of Specified Digital Platforms (Cabinet Order No. 17 of 2021; referred to as the "Order" below).</w:t>
      </w:r>
    </w:p>
    <w:p w14:paraId="0331FE26" w14:textId="77777777" w:rsidR="005418F9" w:rsidRDefault="0038222F" w:rsidP="0038222F">
      <w:r>
        <w:t>(Business Provided as an Ancillary Part of a Digital Platform)</w:t>
      </w:r>
    </w:p>
    <w:p w14:paraId="6574706E" w14:textId="77777777" w:rsidR="005418F9" w:rsidRDefault="0038222F" w:rsidP="0038222F">
      <w:r>
        <w:t>Article 2</w:t>
      </w:r>
      <w:r w:rsidR="006469DC">
        <w:rPr>
          <w:rFonts w:hint="eastAsia"/>
        </w:rPr>
        <w:t xml:space="preserve"> </w:t>
      </w:r>
      <w:r>
        <w:t>The businesses specified by Order of the Ministry of Economy, Trade and Industry as prescribed in (b) in the right-hand column of item (</w:t>
      </w:r>
      <w:proofErr w:type="spellStart"/>
      <w:r>
        <w:t>i</w:t>
      </w:r>
      <w:proofErr w:type="spellEnd"/>
      <w:r>
        <w:t>) of the table in paragraph (1) of the Order are those businesses that are provided to general users (limited to those that use the digital platform; hereinafter the same applies in the following Article (4)) as an ancillary part of the digital platform (limited to those for which notification was provided pursuant to Article 4, paragraph (2) of the Act; the same applies below in this Article and paragraph (3) of the following Article), and that bears the cost required to repair goods provided by user providing goods, etc. (limited to those that use the digital platform; the same applies in this paragraph) in the event that goods are damaged; or other business relating to the provision of services or granting of rights incidental to the provision of goods, etc. by user providing goods, etc.</w:t>
      </w:r>
    </w:p>
    <w:p w14:paraId="5096E118" w14:textId="77777777" w:rsidR="005418F9" w:rsidRDefault="0038222F" w:rsidP="0038222F">
      <w:r>
        <w:t>(Scope of Business Scale and Method of Calculation)</w:t>
      </w:r>
    </w:p>
    <w:p w14:paraId="261BCBE1" w14:textId="77777777" w:rsidR="005418F9" w:rsidRDefault="0038222F" w:rsidP="0038222F">
      <w:r>
        <w:t>Article 3</w:t>
      </w:r>
      <w:r w:rsidR="006469DC">
        <w:rPr>
          <w:rFonts w:hint="eastAsia"/>
        </w:rPr>
        <w:t xml:space="preserve"> </w:t>
      </w:r>
      <w:r>
        <w:t>(1)When the total amount in the right-hand columns of item (</w:t>
      </w:r>
      <w:proofErr w:type="spellStart"/>
      <w:r>
        <w:t>i</w:t>
      </w:r>
      <w:proofErr w:type="spellEnd"/>
      <w:r>
        <w:t>) or (iii) of the table in paragraph (1) of the Order or the domestic sales amount in the right-hand column of item (iii) of the relevant table is to be converted into Japanese currency, the conversion is to be made by using the exchange rate (meaning the reference foreign exchange rates or the arbitrated foreign exchange rate stated in Article 7, paragraph (1) of the Foreign Exchange and Foreign Trade Act (Act No. 228 of 1949)) at the time of the notification.</w:t>
      </w:r>
    </w:p>
    <w:p w14:paraId="15A9EDA1" w14:textId="77777777" w:rsidR="005418F9" w:rsidRDefault="0038222F" w:rsidP="0038222F">
      <w:r>
        <w:t>(2)</w:t>
      </w:r>
      <w:r w:rsidR="0057782A">
        <w:rPr>
          <w:rFonts w:hint="eastAsia"/>
        </w:rPr>
        <w:t xml:space="preserve"> </w:t>
      </w:r>
      <w:r>
        <w:t>The calculation of the total amount in the right-hand column of items (</w:t>
      </w:r>
      <w:proofErr w:type="spellStart"/>
      <w:r>
        <w:t>i</w:t>
      </w:r>
      <w:proofErr w:type="spellEnd"/>
      <w:r>
        <w:t xml:space="preserve">) of the table in paragraph (1) of the Order shall, when the total amount of domestic sales stated in (a) of that column is found to be significantly less than the amount of </w:t>
      </w:r>
      <w:r>
        <w:lastRenderedPageBreak/>
        <w:t>domestic sales stated in (b) of that column, be made by deducting the amount of domestic sales in (b) of that column.</w:t>
      </w:r>
    </w:p>
    <w:p w14:paraId="6AF3A397" w14:textId="77777777" w:rsidR="005418F9" w:rsidRDefault="0038222F" w:rsidP="0038222F">
      <w:r>
        <w:t>(3)</w:t>
      </w:r>
      <w:r w:rsidR="0057782A">
        <w:rPr>
          <w:rFonts w:hint="eastAsia"/>
        </w:rPr>
        <w:t xml:space="preserve"> </w:t>
      </w:r>
      <w:r>
        <w:t>The scope of domestic sales in (a) of the right-hand column of item (</w:t>
      </w:r>
      <w:proofErr w:type="spellStart"/>
      <w:r>
        <w:t>i</w:t>
      </w:r>
      <w:proofErr w:type="spellEnd"/>
      <w:r>
        <w:t>) of the table, the right-hand column of item (ii) of the table, and the right-hand column of item (iii) of the table referred to in paragraph (1) of the Order is the sales amount relating to business conducted primarily for domestic users (limited to those that use the digital platform).</w:t>
      </w:r>
    </w:p>
    <w:p w14:paraId="71EB3217" w14:textId="77777777" w:rsidR="005418F9" w:rsidRDefault="0038222F" w:rsidP="0038222F">
      <w:r>
        <w:t>(4)</w:t>
      </w:r>
      <w:r w:rsidR="0057782A">
        <w:rPr>
          <w:rFonts w:hint="eastAsia"/>
        </w:rPr>
        <w:t xml:space="preserve"> </w:t>
      </w:r>
      <w:r>
        <w:t>The scope of domestic sales in (b) of the right-hand column of item (</w:t>
      </w:r>
      <w:proofErr w:type="spellStart"/>
      <w:r>
        <w:t>i</w:t>
      </w:r>
      <w:proofErr w:type="spellEnd"/>
      <w:r>
        <w:t>) of the table referred to in paragraph (1) of the Order is the sales amount relating to business conducted primarily for domestic general users.</w:t>
      </w:r>
    </w:p>
    <w:p w14:paraId="34DF9A70" w14:textId="77777777" w:rsidR="005418F9" w:rsidRDefault="0038222F" w:rsidP="0038222F">
      <w:r>
        <w:t>(Notification of Digital Platform Providers)</w:t>
      </w:r>
    </w:p>
    <w:p w14:paraId="61D35149" w14:textId="77777777" w:rsidR="005418F9" w:rsidRDefault="0038222F" w:rsidP="0038222F">
      <w:r>
        <w:t>Article 4</w:t>
      </w:r>
      <w:r w:rsidR="0057782A">
        <w:rPr>
          <w:rFonts w:hint="eastAsia"/>
        </w:rPr>
        <w:t xml:space="preserve"> </w:t>
      </w:r>
      <w:r>
        <w:t>(1)The notification under the provisions of Article 4, paragraph (2) of the Act must be made for each business category specified in the middle column of the table in paragraph (1) of the Order by submitting a written notification prepared by using Form No. 1 by the last day of April of every fiscal year.</w:t>
      </w:r>
    </w:p>
    <w:p w14:paraId="7D3081AC" w14:textId="77777777" w:rsidR="005418F9" w:rsidRDefault="0038222F" w:rsidP="0038222F">
      <w:r>
        <w:t>(2)</w:t>
      </w:r>
      <w:r w:rsidR="0057782A">
        <w:rPr>
          <w:rFonts w:hint="eastAsia"/>
        </w:rPr>
        <w:t xml:space="preserve"> </w:t>
      </w:r>
      <w:r>
        <w:t>When any changes occur to the particulars stated in a notification specified in the preceding paragraph, a specified digital platform provider must promptly provide notice of the changed particulars.</w:t>
      </w:r>
    </w:p>
    <w:p w14:paraId="4A7BB4B5" w14:textId="77777777" w:rsidR="005418F9" w:rsidRDefault="0038222F" w:rsidP="0038222F">
      <w:r>
        <w:t>(3)</w:t>
      </w:r>
      <w:r w:rsidR="0057782A">
        <w:rPr>
          <w:rFonts w:hint="eastAsia"/>
        </w:rPr>
        <w:t xml:space="preserve"> </w:t>
      </w:r>
      <w:r>
        <w:t>Submission of notification specified in paragraph (1) and notification under the provisions of the preceding paragraph must be made in accordance with Article 6, paragraph (1) of the Act on the Advancement of Government Administration Processes That Use Information and Communications Technology (Act No. 151 of 2002) by a method using an electronic data processing system specified in that paragraph.</w:t>
      </w:r>
    </w:p>
    <w:p w14:paraId="3D0AB25B" w14:textId="77777777" w:rsidR="005418F9" w:rsidRDefault="0038222F" w:rsidP="0038222F">
      <w:r>
        <w:lastRenderedPageBreak/>
        <w:t>(Method of Disclosure of Conditions of Provision)</w:t>
      </w:r>
    </w:p>
    <w:p w14:paraId="16906A16" w14:textId="77777777" w:rsidR="005418F9" w:rsidRDefault="0038222F" w:rsidP="0038222F">
      <w:r>
        <w:t>Article 5</w:t>
      </w:r>
      <w:r w:rsidR="0057782A">
        <w:rPr>
          <w:rFonts w:hint="eastAsia"/>
        </w:rPr>
        <w:t xml:space="preserve"> </w:t>
      </w:r>
      <w:r>
        <w:t>(1)When disclosing the terms and conditions pursuant to Article 5, paragraph (1) of the Act, a specified digital platform provider must do so by the methods stated below. In this case, when the relevant terms and conditions have not been prepared in Japanese, a Japanese translation must be attached to them.</w:t>
      </w:r>
    </w:p>
    <w:p w14:paraId="48E10306" w14:textId="77777777" w:rsidR="005418F9" w:rsidRDefault="0038222F" w:rsidP="0038222F">
      <w:r>
        <w:t>(</w:t>
      </w:r>
      <w:proofErr w:type="spellStart"/>
      <w:r>
        <w:t>i</w:t>
      </w:r>
      <w:proofErr w:type="spellEnd"/>
      <w:r>
        <w:t>)</w:t>
      </w:r>
      <w:r w:rsidR="0057782A">
        <w:rPr>
          <w:rFonts w:hint="eastAsia"/>
        </w:rPr>
        <w:t xml:space="preserve"> </w:t>
      </w:r>
      <w:r>
        <w:t>to state with clear and plain language to users (limited to users who use the specified digital platform, including those who plan to use the specified digital platform; the same applies below); and</w:t>
      </w:r>
    </w:p>
    <w:p w14:paraId="66EDC6A0" w14:textId="77777777" w:rsidR="005418F9" w:rsidRDefault="0038222F" w:rsidP="0038222F">
      <w:r>
        <w:t>(ii)</w:t>
      </w:r>
      <w:r w:rsidR="0057782A">
        <w:rPr>
          <w:rFonts w:hint="eastAsia"/>
        </w:rPr>
        <w:t xml:space="preserve"> </w:t>
      </w:r>
      <w:r>
        <w:t>to be easily accessible for users before commencing and during use of the specified digital platform.</w:t>
      </w:r>
    </w:p>
    <w:p w14:paraId="6B3C915F" w14:textId="77777777" w:rsidR="005418F9" w:rsidRDefault="0038222F" w:rsidP="0038222F">
      <w:r>
        <w:t>(2)</w:t>
      </w:r>
      <w:r w:rsidR="0057782A">
        <w:rPr>
          <w:rFonts w:hint="eastAsia"/>
        </w:rPr>
        <w:t xml:space="preserve"> </w:t>
      </w:r>
      <w:r>
        <w:t>When disclosing terms and conditions pursuant to Article 5, paragraph (1) of the Act, if attaching a Japanese translation specified in the preceding paragraph is unavoidably not possible, it is allowed to specify the deadline at the time of disclosure and to provide the translation within the deadline accordingly.</w:t>
      </w:r>
    </w:p>
    <w:p w14:paraId="22551B9D" w14:textId="77777777" w:rsidR="005418F9" w:rsidRDefault="0038222F" w:rsidP="0038222F">
      <w:r>
        <w:t>(Matters to Be Disclosed to User Providing Goods)</w:t>
      </w:r>
    </w:p>
    <w:p w14:paraId="542ECE79" w14:textId="77777777" w:rsidR="005418F9" w:rsidRDefault="0038222F" w:rsidP="0038222F">
      <w:r>
        <w:t>Article 6</w:t>
      </w:r>
      <w:r w:rsidR="0057782A">
        <w:rPr>
          <w:rFonts w:hint="eastAsia"/>
        </w:rPr>
        <w:t xml:space="preserve"> </w:t>
      </w:r>
      <w:r>
        <w:t>The matters to be specified by Order of the Ministry of Economy, Trade and Industry stated in Article 5, paragraph (2), item (</w:t>
      </w:r>
      <w:proofErr w:type="spellStart"/>
      <w:r>
        <w:t>i</w:t>
      </w:r>
      <w:proofErr w:type="spellEnd"/>
      <w:r>
        <w:t>), (g) of the Act are the particulars stated in the right-hand column of the following table according to the business classifications in the left-hand column of the same table:</w:t>
      </w:r>
    </w:p>
    <w:p w14:paraId="0CC280D8" w14:textId="77777777" w:rsidR="005418F9" w:rsidRDefault="009C69F3" w:rsidP="009C69F3">
      <w:r>
        <w:t>(2)</w:t>
      </w:r>
      <w:r>
        <w:rPr>
          <w:rFonts w:hint="eastAsia"/>
        </w:rPr>
        <w:t xml:space="preserve"> </w:t>
      </w:r>
      <w:r>
        <w:t xml:space="preserve">Beyond what is provided for in the preceding paragraph, the method of calculating domestic sales prescribed in the relevant paragraph and other necessary </w:t>
      </w:r>
      <w:r>
        <w:lastRenderedPageBreak/>
        <w:t>particulars concerning application of the provisions of the relevant paragraph are provided by Order of the Ministry of Economy, Trade and Industry.</w:t>
      </w:r>
    </w:p>
    <w:p w14:paraId="7900E087" w14:textId="77777777" w:rsidR="005418F9" w:rsidRDefault="009C69F3" w:rsidP="009C69F3">
      <w:r>
        <w:t>Supplementary Provisions</w:t>
      </w:r>
    </w:p>
    <w:p w14:paraId="6EF4D546" w14:textId="77777777" w:rsidR="005418F9" w:rsidRDefault="009C69F3" w:rsidP="009C69F3">
      <w:r>
        <w:t>(Effective Date)</w:t>
      </w:r>
    </w:p>
    <w:p w14:paraId="5DAC90D8" w14:textId="77777777" w:rsidR="005418F9" w:rsidRDefault="009C69F3" w:rsidP="009C69F3">
      <w:r>
        <w:t>(1)</w:t>
      </w:r>
      <w:r>
        <w:rPr>
          <w:rFonts w:hint="eastAsia"/>
        </w:rPr>
        <w:t xml:space="preserve"> </w:t>
      </w:r>
      <w:r>
        <w:t>This Cabinet Order comes into effect as of the date on which the Act comes into effect (February 1, 2021).</w:t>
      </w:r>
    </w:p>
    <w:p w14:paraId="6E6DAEBC" w14:textId="77777777" w:rsidR="005418F9" w:rsidRDefault="009C69F3" w:rsidP="009C69F3">
      <w:r>
        <w:t>(Partial Amendment of the Cabinet Order Designating Acts Specified in Item (viii) of the Appended Table of the Whistleblower Protection Act)</w:t>
      </w:r>
    </w:p>
    <w:p w14:paraId="70343624" w14:textId="77777777" w:rsidR="005418F9" w:rsidRDefault="009C69F3" w:rsidP="009C69F3">
      <w:r>
        <w:t>(2)</w:t>
      </w:r>
      <w:r>
        <w:rPr>
          <w:rFonts w:hint="eastAsia"/>
        </w:rPr>
        <w:t xml:space="preserve"> </w:t>
      </w:r>
      <w:r>
        <w:t>The Cabinet Order Designating Acts Specified in Item (viii) of the Appended Table of the Whistleblower Protection Act (Cabinet Order No. 146 of 2005) is partially amended as stated below.</w:t>
      </w:r>
    </w:p>
    <w:p w14:paraId="20AEF071" w14:textId="77777777" w:rsidR="005418F9" w:rsidRDefault="009C69F3" w:rsidP="009C69F3">
      <w:r>
        <w:t>Item (cdlvi) is renumbered as item(cdlvii), item (cdlv)is renumbered as item(cdlvi), and the following item is added after item (cdliv).</w:t>
      </w:r>
    </w:p>
    <w:p w14:paraId="138B106E" w14:textId="77777777" w:rsidR="00E77422" w:rsidRDefault="00E77422" w:rsidP="009C69F3">
      <w:r>
        <w:t>(cdlv) Act on Improving Transparency and Fairness of Digital Platforms (Act No. 38 of 2020)</w:t>
      </w:r>
    </w:p>
    <w:p w14:paraId="05471B1E" w14:textId="3AF4FBC0" w:rsidR="005418F9" w:rsidRDefault="009C69F3" w:rsidP="009C69F3">
      <w:r>
        <w:t xml:space="preserve">Supplementary Provisions </w:t>
      </w:r>
      <w:r w:rsidR="009E3CC0">
        <w:rPr>
          <w:rFonts w:hint="eastAsia"/>
        </w:rPr>
        <w:t>(</w:t>
      </w:r>
      <w:r>
        <w:t>Cabinet Order No. 246 of 2022</w:t>
      </w:r>
      <w:r w:rsidR="009E3CC0">
        <w:rPr>
          <w:rFonts w:hint="eastAsia"/>
        </w:rPr>
        <w:t>)</w:t>
      </w:r>
    </w:p>
    <w:p w14:paraId="0CB862E6" w14:textId="3F9D8B95" w:rsidR="005418F9" w:rsidRDefault="00455BDD" w:rsidP="009C69F3">
      <w:r>
        <w:t>(1)</w:t>
      </w:r>
      <w:r>
        <w:rPr>
          <w:rFonts w:hint="eastAsia"/>
        </w:rPr>
        <w:t xml:space="preserve"> </w:t>
      </w:r>
      <w:r w:rsidR="009C69F3">
        <w:t>This Cabinet Order comes into force on August 1, 2022.</w:t>
      </w:r>
    </w:p>
    <w:p w14:paraId="32C0256F" w14:textId="07F8DC21" w:rsidR="005418F9" w:rsidRDefault="009C69F3" w:rsidP="009C69F3">
      <w:r>
        <w:t xml:space="preserve">Supplementary Provisions </w:t>
      </w:r>
      <w:r w:rsidR="009E3CC0">
        <w:rPr>
          <w:rFonts w:hint="eastAsia"/>
        </w:rPr>
        <w:t>(</w:t>
      </w:r>
      <w:r>
        <w:t>Cabinet Order No. 279 of 2025</w:t>
      </w:r>
      <w:r w:rsidR="009E3CC0">
        <w:rPr>
          <w:rFonts w:hint="eastAsia"/>
        </w:rPr>
        <w:t>)</w:t>
      </w:r>
    </w:p>
    <w:p w14:paraId="57042FD8" w14:textId="77777777" w:rsidR="005418F9" w:rsidRDefault="009C69F3" w:rsidP="009C69F3">
      <w:r>
        <w:t>(Effective Date)</w:t>
      </w:r>
    </w:p>
    <w:p w14:paraId="7947F20A" w14:textId="77777777" w:rsidR="005418F9" w:rsidRDefault="009C69F3" w:rsidP="009C69F3">
      <w:r>
        <w:t>(1)</w:t>
      </w:r>
      <w:r>
        <w:rPr>
          <w:rFonts w:hint="eastAsia"/>
        </w:rPr>
        <w:t xml:space="preserve"> </w:t>
      </w:r>
      <w:r>
        <w:t>This Cabinet Order takes effect on the effective date of the Act on Promotion of Competition in Specified Smartphone Software (December 18, 2025).</w:t>
      </w:r>
    </w:p>
    <w:p w14:paraId="6FB6CAFF" w14:textId="77777777" w:rsidR="005418F9" w:rsidRDefault="009C69F3" w:rsidP="009C69F3">
      <w:r>
        <w:lastRenderedPageBreak/>
        <w:t>(Transitional Measures Accompanying the Partial Amendment of the Cabinet Order for Specifying the Business Category and Scale under in Article 4, Paragraph (1) of the Act on Improving Transparency and Fairness of Specified Digital Platforms)</w:t>
      </w:r>
    </w:p>
    <w:p w14:paraId="2DF2522A" w14:textId="77777777" w:rsidR="005418F9" w:rsidRDefault="009C69F3" w:rsidP="009C69F3">
      <w:r>
        <w:t>(2) With regard to recommendations, orders, reports, inspections, and other actions pursuant to the provisions of Article 6, paragraphs (1) and (4), Article 8, paragraph (1), Article 10, paragraph (3), and Article 12, paragraphs (2) and (3) of the Act on Improving Transparency and Fairness of Specified Digital Platforms, for acts committed prior to the enforcement of the provisions of Article 4, the previous provisions shall remain applicable.</w:t>
      </w:r>
    </w:p>
    <w:p w14:paraId="53FED197" w14:textId="77777777" w:rsidR="005418F9" w:rsidRDefault="009C69F3" w:rsidP="009C69F3">
      <w:r>
        <w:t>(3) With regard to the application of penalties for acts committed prior to the enforcement of the provisions of Article 4, and for acts committed after the enforcement of the provisions of Article 4 in cases where the previous provisions continue to apply pursuant to the preceding paragraph, the previous provisions shall remain applicable.</w:t>
      </w:r>
    </w:p>
    <w:p w14:paraId="064B6FA5" w14:textId="41215823" w:rsidR="005C7362" w:rsidRPr="009C69F3" w:rsidRDefault="005C7362" w:rsidP="009C69F3"/>
    <w:sectPr w:rsidR="005C7362" w:rsidRPr="009C69F3" w:rsidSect="0053478C">
      <w:headerReference w:type="first" r:id="rId11"/>
      <w:pgSz w:w="11906" w:h="16838" w:code="9"/>
      <w:pgMar w:top="1701" w:right="1531" w:bottom="1701" w:left="1531" w:header="340" w:footer="340" w:gutter="0"/>
      <w:cols w:space="425"/>
      <w:docGrid w:type="linesAndChars" w:linePitch="335" w:charSpace="13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B37087" w14:textId="77777777" w:rsidR="00E8241B" w:rsidRDefault="00E8241B" w:rsidP="003C0825">
      <w:r>
        <w:separator/>
      </w:r>
    </w:p>
  </w:endnote>
  <w:endnote w:type="continuationSeparator" w:id="0">
    <w:p w14:paraId="6DFB71A0" w14:textId="77777777" w:rsidR="00E8241B" w:rsidRDefault="00E8241B" w:rsidP="003C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ＭＳ明朝">
    <w:altName w:val="游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1259F3" w14:textId="77777777" w:rsidR="00E8241B" w:rsidRDefault="00E8241B" w:rsidP="003C0825">
      <w:r>
        <w:separator/>
      </w:r>
    </w:p>
  </w:footnote>
  <w:footnote w:type="continuationSeparator" w:id="0">
    <w:p w14:paraId="66598C7B" w14:textId="77777777" w:rsidR="00E8241B" w:rsidRDefault="00E8241B" w:rsidP="003C08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564CF" w14:textId="77777777" w:rsidR="009F1401" w:rsidRPr="005B2C63" w:rsidRDefault="009F1401" w:rsidP="00482008">
    <w:pPr>
      <w:pStyle w:val="a3"/>
      <w:spacing w:line="14"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47B44"/>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16cid:durableId="6002652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27"/>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B3B"/>
    <w:rsid w:val="000146A9"/>
    <w:rsid w:val="000508D1"/>
    <w:rsid w:val="00052B25"/>
    <w:rsid w:val="0005372F"/>
    <w:rsid w:val="0006131C"/>
    <w:rsid w:val="000714D7"/>
    <w:rsid w:val="000800FA"/>
    <w:rsid w:val="000B5C88"/>
    <w:rsid w:val="000E3EEB"/>
    <w:rsid w:val="000E4BEF"/>
    <w:rsid w:val="00110596"/>
    <w:rsid w:val="001141A9"/>
    <w:rsid w:val="00117FBB"/>
    <w:rsid w:val="001207A1"/>
    <w:rsid w:val="00120AD4"/>
    <w:rsid w:val="0012704F"/>
    <w:rsid w:val="001270B0"/>
    <w:rsid w:val="00127B05"/>
    <w:rsid w:val="001343C4"/>
    <w:rsid w:val="001413F6"/>
    <w:rsid w:val="001523A6"/>
    <w:rsid w:val="00173AC4"/>
    <w:rsid w:val="001950D4"/>
    <w:rsid w:val="001D7903"/>
    <w:rsid w:val="001E6C54"/>
    <w:rsid w:val="001F229C"/>
    <w:rsid w:val="00206F1D"/>
    <w:rsid w:val="00234E6F"/>
    <w:rsid w:val="002509A9"/>
    <w:rsid w:val="002773B1"/>
    <w:rsid w:val="0028110A"/>
    <w:rsid w:val="002852B0"/>
    <w:rsid w:val="002A5B8B"/>
    <w:rsid w:val="002B3920"/>
    <w:rsid w:val="002C2B29"/>
    <w:rsid w:val="002C7C55"/>
    <w:rsid w:val="002D3A26"/>
    <w:rsid w:val="002E137B"/>
    <w:rsid w:val="002E6F42"/>
    <w:rsid w:val="002F134B"/>
    <w:rsid w:val="002F2744"/>
    <w:rsid w:val="002F36E9"/>
    <w:rsid w:val="003001FA"/>
    <w:rsid w:val="00300736"/>
    <w:rsid w:val="003010B9"/>
    <w:rsid w:val="00306230"/>
    <w:rsid w:val="003111E6"/>
    <w:rsid w:val="00321D70"/>
    <w:rsid w:val="00323AC7"/>
    <w:rsid w:val="0032491E"/>
    <w:rsid w:val="003273C3"/>
    <w:rsid w:val="00327709"/>
    <w:rsid w:val="00342DA1"/>
    <w:rsid w:val="00353E04"/>
    <w:rsid w:val="00363364"/>
    <w:rsid w:val="00374BA6"/>
    <w:rsid w:val="00380AFB"/>
    <w:rsid w:val="00381329"/>
    <w:rsid w:val="0038222F"/>
    <w:rsid w:val="00392485"/>
    <w:rsid w:val="003A5BF7"/>
    <w:rsid w:val="003C0825"/>
    <w:rsid w:val="003D2FE9"/>
    <w:rsid w:val="003E3C40"/>
    <w:rsid w:val="00415E57"/>
    <w:rsid w:val="00423133"/>
    <w:rsid w:val="00455BDD"/>
    <w:rsid w:val="0046326C"/>
    <w:rsid w:val="00482008"/>
    <w:rsid w:val="0049010A"/>
    <w:rsid w:val="00490603"/>
    <w:rsid w:val="004B463C"/>
    <w:rsid w:val="004D5356"/>
    <w:rsid w:val="004E033B"/>
    <w:rsid w:val="00502015"/>
    <w:rsid w:val="00525A6D"/>
    <w:rsid w:val="00533ECD"/>
    <w:rsid w:val="0053478C"/>
    <w:rsid w:val="005418F9"/>
    <w:rsid w:val="00543975"/>
    <w:rsid w:val="00553CC8"/>
    <w:rsid w:val="00564DE9"/>
    <w:rsid w:val="00566918"/>
    <w:rsid w:val="00574E90"/>
    <w:rsid w:val="00575670"/>
    <w:rsid w:val="00575B58"/>
    <w:rsid w:val="0057782A"/>
    <w:rsid w:val="00580695"/>
    <w:rsid w:val="00582B1D"/>
    <w:rsid w:val="00582C84"/>
    <w:rsid w:val="005A70DB"/>
    <w:rsid w:val="005B2C63"/>
    <w:rsid w:val="005B363A"/>
    <w:rsid w:val="005C5442"/>
    <w:rsid w:val="005C7362"/>
    <w:rsid w:val="005D124A"/>
    <w:rsid w:val="005D4B4F"/>
    <w:rsid w:val="005D7116"/>
    <w:rsid w:val="005F2683"/>
    <w:rsid w:val="0060539C"/>
    <w:rsid w:val="006117DF"/>
    <w:rsid w:val="00615AD1"/>
    <w:rsid w:val="0062029A"/>
    <w:rsid w:val="00640743"/>
    <w:rsid w:val="006437C8"/>
    <w:rsid w:val="006469DC"/>
    <w:rsid w:val="00646BD7"/>
    <w:rsid w:val="006703EB"/>
    <w:rsid w:val="0068178C"/>
    <w:rsid w:val="00691593"/>
    <w:rsid w:val="00694F40"/>
    <w:rsid w:val="006C07BC"/>
    <w:rsid w:val="006C0AD1"/>
    <w:rsid w:val="006D7F6D"/>
    <w:rsid w:val="006F06E2"/>
    <w:rsid w:val="006F1CB0"/>
    <w:rsid w:val="00704955"/>
    <w:rsid w:val="00704A61"/>
    <w:rsid w:val="00712B71"/>
    <w:rsid w:val="0071550C"/>
    <w:rsid w:val="00724294"/>
    <w:rsid w:val="00725204"/>
    <w:rsid w:val="0072651D"/>
    <w:rsid w:val="007418F0"/>
    <w:rsid w:val="00786E13"/>
    <w:rsid w:val="007A7F73"/>
    <w:rsid w:val="007B05C5"/>
    <w:rsid w:val="007B4CA6"/>
    <w:rsid w:val="007C5893"/>
    <w:rsid w:val="007C6101"/>
    <w:rsid w:val="0080263F"/>
    <w:rsid w:val="00807B5E"/>
    <w:rsid w:val="00814561"/>
    <w:rsid w:val="0081761F"/>
    <w:rsid w:val="00823E1A"/>
    <w:rsid w:val="008248C2"/>
    <w:rsid w:val="008351E7"/>
    <w:rsid w:val="00854164"/>
    <w:rsid w:val="0086707B"/>
    <w:rsid w:val="00880D7F"/>
    <w:rsid w:val="00896D7C"/>
    <w:rsid w:val="008A0756"/>
    <w:rsid w:val="008A1E71"/>
    <w:rsid w:val="008B6018"/>
    <w:rsid w:val="008C73D1"/>
    <w:rsid w:val="008D5F75"/>
    <w:rsid w:val="008F3AC7"/>
    <w:rsid w:val="00933F69"/>
    <w:rsid w:val="00951DC0"/>
    <w:rsid w:val="00981B64"/>
    <w:rsid w:val="00995B4E"/>
    <w:rsid w:val="009A4EE7"/>
    <w:rsid w:val="009B097F"/>
    <w:rsid w:val="009C16E7"/>
    <w:rsid w:val="009C69F3"/>
    <w:rsid w:val="009D0596"/>
    <w:rsid w:val="009E3CC0"/>
    <w:rsid w:val="009F084A"/>
    <w:rsid w:val="009F1401"/>
    <w:rsid w:val="009F48A5"/>
    <w:rsid w:val="00A10268"/>
    <w:rsid w:val="00A225F7"/>
    <w:rsid w:val="00A26DF4"/>
    <w:rsid w:val="00A323D2"/>
    <w:rsid w:val="00A60B3B"/>
    <w:rsid w:val="00A81A69"/>
    <w:rsid w:val="00AB1599"/>
    <w:rsid w:val="00AB4545"/>
    <w:rsid w:val="00AB4FCA"/>
    <w:rsid w:val="00AC6B55"/>
    <w:rsid w:val="00AD5704"/>
    <w:rsid w:val="00AD7DF6"/>
    <w:rsid w:val="00AE01A1"/>
    <w:rsid w:val="00AE07CE"/>
    <w:rsid w:val="00B33D05"/>
    <w:rsid w:val="00B73CB6"/>
    <w:rsid w:val="00B83071"/>
    <w:rsid w:val="00B93A63"/>
    <w:rsid w:val="00BA0A8B"/>
    <w:rsid w:val="00BB027D"/>
    <w:rsid w:val="00BB08AD"/>
    <w:rsid w:val="00C01E15"/>
    <w:rsid w:val="00C030AE"/>
    <w:rsid w:val="00C11B59"/>
    <w:rsid w:val="00C260B1"/>
    <w:rsid w:val="00C36AE3"/>
    <w:rsid w:val="00C735E1"/>
    <w:rsid w:val="00C866DB"/>
    <w:rsid w:val="00C8764A"/>
    <w:rsid w:val="00C9072D"/>
    <w:rsid w:val="00C921D2"/>
    <w:rsid w:val="00CB7F4C"/>
    <w:rsid w:val="00CE6391"/>
    <w:rsid w:val="00D56B1C"/>
    <w:rsid w:val="00D613E7"/>
    <w:rsid w:val="00D97A3E"/>
    <w:rsid w:val="00DA37CC"/>
    <w:rsid w:val="00DA3897"/>
    <w:rsid w:val="00DB1A89"/>
    <w:rsid w:val="00DC03A9"/>
    <w:rsid w:val="00DC60FF"/>
    <w:rsid w:val="00DC69D8"/>
    <w:rsid w:val="00DF4FA4"/>
    <w:rsid w:val="00E10197"/>
    <w:rsid w:val="00E12D42"/>
    <w:rsid w:val="00E2034E"/>
    <w:rsid w:val="00E238F5"/>
    <w:rsid w:val="00E30B32"/>
    <w:rsid w:val="00E36A14"/>
    <w:rsid w:val="00E433C8"/>
    <w:rsid w:val="00E5409C"/>
    <w:rsid w:val="00E77422"/>
    <w:rsid w:val="00E8241B"/>
    <w:rsid w:val="00E97491"/>
    <w:rsid w:val="00EA2AEB"/>
    <w:rsid w:val="00EB79A6"/>
    <w:rsid w:val="00EC763D"/>
    <w:rsid w:val="00EE2315"/>
    <w:rsid w:val="00EF750F"/>
    <w:rsid w:val="00F071E0"/>
    <w:rsid w:val="00F1031C"/>
    <w:rsid w:val="00F26989"/>
    <w:rsid w:val="00F328BE"/>
    <w:rsid w:val="00F36A47"/>
    <w:rsid w:val="00F55DDF"/>
    <w:rsid w:val="00F84AA4"/>
    <w:rsid w:val="00FB0A83"/>
    <w:rsid w:val="00FB2FA2"/>
    <w:rsid w:val="00FB35B6"/>
    <w:rsid w:val="00FC1CC8"/>
    <w:rsid w:val="00FD569E"/>
    <w:rsid w:val="00FD5A8E"/>
    <w:rsid w:val="00FF146F"/>
    <w:rsid w:val="00FF2A90"/>
    <w:rsid w:val="00FF2CC5"/>
    <w:rsid w:val="00FF5B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4995CAD0"/>
  <w15:chartTrackingRefBased/>
  <w15:docId w15:val="{CDF2E907-7363-49F3-9397-431E48F2E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1"/>
        <w:lang w:val="en-US" w:eastAsia="ja-JP" w:bidi="ar-SA"/>
      </w:rPr>
    </w:rPrDefault>
    <w:pPrDefault>
      <w:pPr>
        <w:ind w:firstLine="22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uiPriority="39"/>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60B3B"/>
    <w:rPr>
      <w:sz w:val="22"/>
    </w:rPr>
  </w:style>
  <w:style w:type="paragraph" w:styleId="1">
    <w:name w:val="heading 1"/>
    <w:basedOn w:val="a"/>
    <w:next w:val="a"/>
    <w:link w:val="10"/>
    <w:uiPriority w:val="9"/>
    <w:qFormat/>
    <w:rsid w:val="005F2683"/>
    <w:pPr>
      <w:keepNext/>
      <w:pBdr>
        <w:bottom w:val="single" w:sz="2" w:space="1" w:color="BFBFBF" w:themeColor="background1" w:themeShade="BF"/>
      </w:pBdr>
      <w:spacing w:beforeLines="50" w:before="50" w:afterLines="50" w:after="50"/>
      <w:contextualSpacing/>
      <w:outlineLvl w:val="0"/>
    </w:pPr>
    <w:rPr>
      <w:rFonts w:asciiTheme="majorHAnsi" w:eastAsiaTheme="majorEastAsia" w:hAnsiTheme="majorHAnsi" w:cstheme="majorBidi"/>
      <w:b/>
      <w:sz w:val="28"/>
      <w:szCs w:val="24"/>
    </w:rPr>
  </w:style>
  <w:style w:type="paragraph" w:styleId="2">
    <w:name w:val="heading 2"/>
    <w:basedOn w:val="a"/>
    <w:next w:val="a"/>
    <w:link w:val="20"/>
    <w:uiPriority w:val="9"/>
    <w:unhideWhenUsed/>
    <w:qFormat/>
    <w:rsid w:val="005F2683"/>
    <w:pPr>
      <w:keepNext/>
      <w:pBdr>
        <w:bottom w:val="single" w:sz="2" w:space="1" w:color="BFBFBF" w:themeColor="background1" w:themeShade="BF"/>
      </w:pBdr>
      <w:spacing w:beforeLines="50" w:before="50" w:afterLines="50" w:after="50"/>
      <w:contextualSpacing/>
      <w:outlineLvl w:val="1"/>
    </w:pPr>
    <w:rPr>
      <w:rFonts w:asciiTheme="majorHAnsi" w:eastAsiaTheme="majorEastAsia" w:hAnsiTheme="majorHAnsi" w:cstheme="majorBidi"/>
      <w:b/>
      <w:sz w:val="24"/>
    </w:rPr>
  </w:style>
  <w:style w:type="paragraph" w:styleId="3">
    <w:name w:val="heading 3"/>
    <w:basedOn w:val="a"/>
    <w:next w:val="a"/>
    <w:link w:val="30"/>
    <w:uiPriority w:val="9"/>
    <w:unhideWhenUsed/>
    <w:qFormat/>
    <w:rsid w:val="005F2683"/>
    <w:pPr>
      <w:keepNext/>
      <w:spacing w:beforeLines="50" w:before="50" w:afterLines="50" w:after="50"/>
      <w:contextualSpacing/>
      <w:outlineLvl w:val="2"/>
    </w:pPr>
    <w:rPr>
      <w:rFonts w:asciiTheme="majorHAnsi" w:eastAsiaTheme="majorEastAsia" w:hAnsiTheme="majorHAnsi" w:cstheme="majorBidi"/>
      <w:b/>
    </w:rPr>
  </w:style>
  <w:style w:type="paragraph" w:styleId="4">
    <w:name w:val="heading 4"/>
    <w:basedOn w:val="a"/>
    <w:next w:val="a"/>
    <w:link w:val="40"/>
    <w:uiPriority w:val="9"/>
    <w:unhideWhenUsed/>
    <w:qFormat/>
    <w:rsid w:val="0068178C"/>
    <w:pPr>
      <w:keepNext/>
      <w:outlineLvl w:val="3"/>
    </w:pPr>
    <w:rPr>
      <w:rFonts w:asciiTheme="majorHAnsi" w:eastAsiaTheme="majorEastAsia" w:hAnsiTheme="majorHAnsi"/>
      <w:b/>
      <w:bCs/>
      <w:color w:val="7F7F7F" w:themeColor="text1" w:themeTint="80"/>
    </w:rPr>
  </w:style>
  <w:style w:type="paragraph" w:styleId="5">
    <w:name w:val="heading 5"/>
    <w:basedOn w:val="a"/>
    <w:next w:val="a"/>
    <w:link w:val="50"/>
    <w:uiPriority w:val="9"/>
    <w:semiHidden/>
    <w:unhideWhenUsed/>
    <w:qFormat/>
    <w:rsid w:val="00A60B3B"/>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60B3B"/>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60B3B"/>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60B3B"/>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60B3B"/>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pPr>
  </w:style>
  <w:style w:type="character" w:customStyle="1" w:styleId="a6">
    <w:name w:val="フッター (文字)"/>
    <w:basedOn w:val="a0"/>
    <w:link w:val="a5"/>
    <w:uiPriority w:val="99"/>
    <w:rsid w:val="003C0825"/>
  </w:style>
  <w:style w:type="character" w:styleId="a7">
    <w:name w:val="Placeholder Text"/>
    <w:basedOn w:val="a0"/>
    <w:uiPriority w:val="99"/>
    <w:semiHidden/>
    <w:rsid w:val="00C9072D"/>
    <w:rPr>
      <w:color w:val="808080"/>
    </w:rPr>
  </w:style>
  <w:style w:type="paragraph" w:styleId="a8">
    <w:name w:val="Balloon Text"/>
    <w:basedOn w:val="a"/>
    <w:link w:val="a9"/>
    <w:uiPriority w:val="99"/>
    <w:semiHidden/>
    <w:unhideWhenUsed/>
    <w:rsid w:val="00C9072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9072D"/>
    <w:rPr>
      <w:rFonts w:asciiTheme="majorHAnsi" w:eastAsiaTheme="majorEastAsia" w:hAnsiTheme="majorHAnsi" w:cstheme="majorBidi"/>
      <w:sz w:val="18"/>
      <w:szCs w:val="18"/>
    </w:rPr>
  </w:style>
  <w:style w:type="table" w:styleId="aa">
    <w:name w:val="Table Grid"/>
    <w:basedOn w:val="a1"/>
    <w:uiPriority w:val="59"/>
    <w:rsid w:val="00374B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3111E6"/>
    <w:pPr>
      <w:spacing w:before="100" w:beforeAutospacing="1" w:after="100" w:afterAutospacing="1"/>
    </w:pPr>
    <w:rPr>
      <w:rFonts w:ascii="ＭＳ Ｐゴシック" w:eastAsia="ＭＳ Ｐゴシック" w:hAnsi="ＭＳ Ｐゴシック" w:cs="ＭＳ Ｐゴシック"/>
      <w:kern w:val="0"/>
      <w:sz w:val="24"/>
      <w:szCs w:val="24"/>
    </w:rPr>
  </w:style>
  <w:style w:type="character" w:styleId="ab">
    <w:name w:val="line number"/>
    <w:basedOn w:val="a0"/>
    <w:uiPriority w:val="39"/>
    <w:rsid w:val="003E3C40"/>
    <w:rPr>
      <w:rFonts w:ascii="Yu Gothic" w:eastAsia="Yu Gothic"/>
      <w:sz w:val="16"/>
    </w:rPr>
  </w:style>
  <w:style w:type="character" w:styleId="ac">
    <w:name w:val="Hyperlink"/>
    <w:basedOn w:val="a0"/>
    <w:uiPriority w:val="99"/>
    <w:unhideWhenUsed/>
    <w:rsid w:val="002773B1"/>
    <w:rPr>
      <w:color w:val="0000FF"/>
      <w:u w:val="single"/>
    </w:rPr>
  </w:style>
  <w:style w:type="character" w:styleId="ad">
    <w:name w:val="FollowedHyperlink"/>
    <w:basedOn w:val="a0"/>
    <w:uiPriority w:val="99"/>
    <w:semiHidden/>
    <w:unhideWhenUsed/>
    <w:rsid w:val="008248C2"/>
    <w:rPr>
      <w:color w:val="800080" w:themeColor="followedHyperlink"/>
      <w:u w:val="single"/>
    </w:rPr>
  </w:style>
  <w:style w:type="paragraph" w:styleId="ae">
    <w:name w:val="List Paragraph"/>
    <w:basedOn w:val="a"/>
    <w:uiPriority w:val="34"/>
    <w:qFormat/>
    <w:rsid w:val="00C8764A"/>
    <w:pPr>
      <w:ind w:leftChars="400" w:left="840"/>
    </w:pPr>
  </w:style>
  <w:style w:type="character" w:customStyle="1" w:styleId="10">
    <w:name w:val="見出し 1 (文字)"/>
    <w:basedOn w:val="a0"/>
    <w:link w:val="1"/>
    <w:uiPriority w:val="9"/>
    <w:rsid w:val="005F2683"/>
    <w:rPr>
      <w:rFonts w:asciiTheme="majorHAnsi" w:eastAsiaTheme="majorEastAsia" w:hAnsiTheme="majorHAnsi" w:cstheme="majorBidi"/>
      <w:b/>
      <w:sz w:val="28"/>
      <w:szCs w:val="24"/>
    </w:rPr>
  </w:style>
  <w:style w:type="character" w:customStyle="1" w:styleId="20">
    <w:name w:val="見出し 2 (文字)"/>
    <w:basedOn w:val="a0"/>
    <w:link w:val="2"/>
    <w:uiPriority w:val="9"/>
    <w:rsid w:val="005F2683"/>
    <w:rPr>
      <w:rFonts w:asciiTheme="majorHAnsi" w:eastAsiaTheme="majorEastAsia" w:hAnsiTheme="majorHAnsi" w:cstheme="majorBidi"/>
      <w:b/>
      <w:sz w:val="24"/>
    </w:rPr>
  </w:style>
  <w:style w:type="character" w:customStyle="1" w:styleId="30">
    <w:name w:val="見出し 3 (文字)"/>
    <w:basedOn w:val="a0"/>
    <w:link w:val="3"/>
    <w:uiPriority w:val="9"/>
    <w:rsid w:val="005F2683"/>
    <w:rPr>
      <w:rFonts w:asciiTheme="majorHAnsi" w:eastAsiaTheme="majorEastAsia" w:hAnsiTheme="majorHAnsi" w:cstheme="majorBidi"/>
      <w:b/>
      <w:sz w:val="22"/>
    </w:rPr>
  </w:style>
  <w:style w:type="character" w:customStyle="1" w:styleId="40">
    <w:name w:val="見出し 4 (文字)"/>
    <w:basedOn w:val="a0"/>
    <w:link w:val="4"/>
    <w:uiPriority w:val="9"/>
    <w:rsid w:val="0068178C"/>
    <w:rPr>
      <w:rFonts w:asciiTheme="majorHAnsi" w:eastAsiaTheme="majorEastAsia" w:hAnsiTheme="majorHAnsi"/>
      <w:b/>
      <w:bCs/>
      <w:color w:val="7F7F7F" w:themeColor="text1" w:themeTint="80"/>
    </w:rPr>
  </w:style>
  <w:style w:type="paragraph" w:styleId="af">
    <w:name w:val="No Spacing"/>
    <w:uiPriority w:val="1"/>
    <w:qFormat/>
    <w:rsid w:val="00AE01A1"/>
    <w:pPr>
      <w:widowControl w:val="0"/>
      <w:snapToGrid w:val="0"/>
      <w:spacing w:line="40" w:lineRule="exact"/>
      <w:jc w:val="both"/>
    </w:pPr>
  </w:style>
  <w:style w:type="character" w:customStyle="1" w:styleId="50">
    <w:name w:val="見出し 5 (文字)"/>
    <w:basedOn w:val="a0"/>
    <w:link w:val="5"/>
    <w:uiPriority w:val="9"/>
    <w:semiHidden/>
    <w:rsid w:val="00A60B3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60B3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60B3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60B3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60B3B"/>
    <w:rPr>
      <w:rFonts w:asciiTheme="majorHAnsi" w:eastAsiaTheme="majorEastAsia" w:hAnsiTheme="majorHAnsi" w:cstheme="majorBidi"/>
      <w:color w:val="000000" w:themeColor="text1"/>
    </w:rPr>
  </w:style>
  <w:style w:type="paragraph" w:styleId="af0">
    <w:name w:val="Title"/>
    <w:basedOn w:val="a"/>
    <w:next w:val="a"/>
    <w:link w:val="af1"/>
    <w:uiPriority w:val="10"/>
    <w:qFormat/>
    <w:rsid w:val="00A60B3B"/>
    <w:pPr>
      <w:spacing w:after="80"/>
      <w:contextualSpacing/>
      <w:jc w:val="center"/>
    </w:pPr>
    <w:rPr>
      <w:rFonts w:asciiTheme="majorHAnsi" w:eastAsiaTheme="majorEastAsia" w:hAnsiTheme="majorHAnsi" w:cstheme="majorBidi"/>
      <w:spacing w:val="-10"/>
      <w:kern w:val="28"/>
      <w:sz w:val="56"/>
      <w:szCs w:val="56"/>
    </w:rPr>
  </w:style>
  <w:style w:type="character" w:customStyle="1" w:styleId="af1">
    <w:name w:val="表題 (文字)"/>
    <w:basedOn w:val="a0"/>
    <w:link w:val="af0"/>
    <w:uiPriority w:val="10"/>
    <w:rsid w:val="00A60B3B"/>
    <w:rPr>
      <w:rFonts w:asciiTheme="majorHAnsi" w:eastAsiaTheme="majorEastAsia" w:hAnsiTheme="majorHAnsi" w:cstheme="majorBidi"/>
      <w:spacing w:val="-10"/>
      <w:kern w:val="28"/>
      <w:sz w:val="56"/>
      <w:szCs w:val="56"/>
    </w:rPr>
  </w:style>
  <w:style w:type="paragraph" w:styleId="af2">
    <w:name w:val="Subtitle"/>
    <w:basedOn w:val="a"/>
    <w:next w:val="a"/>
    <w:link w:val="af3"/>
    <w:uiPriority w:val="11"/>
    <w:qFormat/>
    <w:rsid w:val="00A60B3B"/>
    <w:pPr>
      <w:numPr>
        <w:ilvl w:val="1"/>
      </w:numPr>
      <w:spacing w:after="160"/>
      <w:ind w:firstLine="221"/>
      <w:jc w:val="center"/>
    </w:pPr>
    <w:rPr>
      <w:rFonts w:asciiTheme="majorHAnsi" w:eastAsiaTheme="majorEastAsia" w:hAnsiTheme="majorHAnsi" w:cstheme="majorBidi"/>
      <w:color w:val="595959" w:themeColor="text1" w:themeTint="A6"/>
      <w:spacing w:val="15"/>
      <w:sz w:val="28"/>
      <w:szCs w:val="28"/>
    </w:rPr>
  </w:style>
  <w:style w:type="character" w:customStyle="1" w:styleId="af3">
    <w:name w:val="副題 (文字)"/>
    <w:basedOn w:val="a0"/>
    <w:link w:val="af2"/>
    <w:uiPriority w:val="11"/>
    <w:rsid w:val="00A60B3B"/>
    <w:rPr>
      <w:rFonts w:asciiTheme="majorHAnsi" w:eastAsiaTheme="majorEastAsia" w:hAnsiTheme="majorHAnsi" w:cstheme="majorBidi"/>
      <w:color w:val="595959" w:themeColor="text1" w:themeTint="A6"/>
      <w:spacing w:val="15"/>
      <w:sz w:val="28"/>
      <w:szCs w:val="28"/>
    </w:rPr>
  </w:style>
  <w:style w:type="paragraph" w:styleId="af4">
    <w:name w:val="Quote"/>
    <w:basedOn w:val="a"/>
    <w:next w:val="a"/>
    <w:link w:val="af5"/>
    <w:uiPriority w:val="29"/>
    <w:qFormat/>
    <w:rsid w:val="00A60B3B"/>
    <w:pPr>
      <w:spacing w:before="160" w:after="160"/>
      <w:jc w:val="center"/>
    </w:pPr>
    <w:rPr>
      <w:i/>
      <w:iCs/>
      <w:color w:val="404040" w:themeColor="text1" w:themeTint="BF"/>
    </w:rPr>
  </w:style>
  <w:style w:type="character" w:customStyle="1" w:styleId="af5">
    <w:name w:val="引用文 (文字)"/>
    <w:basedOn w:val="a0"/>
    <w:link w:val="af4"/>
    <w:uiPriority w:val="29"/>
    <w:rsid w:val="00A60B3B"/>
    <w:rPr>
      <w:rFonts w:ascii="Yu Gothic" w:eastAsia="Yu Gothic"/>
      <w:i/>
      <w:iCs/>
      <w:color w:val="404040" w:themeColor="text1" w:themeTint="BF"/>
    </w:rPr>
  </w:style>
  <w:style w:type="character" w:styleId="21">
    <w:name w:val="Intense Emphasis"/>
    <w:basedOn w:val="a0"/>
    <w:uiPriority w:val="21"/>
    <w:qFormat/>
    <w:rsid w:val="00A60B3B"/>
    <w:rPr>
      <w:i/>
      <w:iCs/>
      <w:color w:val="365F91" w:themeColor="accent1" w:themeShade="BF"/>
    </w:rPr>
  </w:style>
  <w:style w:type="paragraph" w:styleId="22">
    <w:name w:val="Intense Quote"/>
    <w:basedOn w:val="a"/>
    <w:next w:val="a"/>
    <w:link w:val="23"/>
    <w:uiPriority w:val="30"/>
    <w:qFormat/>
    <w:rsid w:val="00A60B3B"/>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23">
    <w:name w:val="引用文 2 (文字)"/>
    <w:basedOn w:val="a0"/>
    <w:link w:val="22"/>
    <w:uiPriority w:val="30"/>
    <w:rsid w:val="00A60B3B"/>
    <w:rPr>
      <w:rFonts w:ascii="Yu Gothic" w:eastAsia="Yu Gothic"/>
      <w:i/>
      <w:iCs/>
      <w:color w:val="365F91" w:themeColor="accent1" w:themeShade="BF"/>
    </w:rPr>
  </w:style>
  <w:style w:type="character" w:styleId="24">
    <w:name w:val="Intense Reference"/>
    <w:basedOn w:val="a0"/>
    <w:uiPriority w:val="32"/>
    <w:qFormat/>
    <w:rsid w:val="00A60B3B"/>
    <w:rPr>
      <w:b/>
      <w:bCs/>
      <w:smallCaps/>
      <w:color w:val="365F91" w:themeColor="accent1" w:themeShade="BF"/>
      <w:spacing w:val="5"/>
    </w:rPr>
  </w:style>
  <w:style w:type="character" w:styleId="af6">
    <w:name w:val="annotation reference"/>
    <w:basedOn w:val="a0"/>
    <w:uiPriority w:val="99"/>
    <w:semiHidden/>
    <w:unhideWhenUsed/>
    <w:rsid w:val="005D7116"/>
    <w:rPr>
      <w:sz w:val="18"/>
      <w:szCs w:val="18"/>
    </w:rPr>
  </w:style>
  <w:style w:type="paragraph" w:styleId="af7">
    <w:name w:val="annotation text"/>
    <w:basedOn w:val="a"/>
    <w:link w:val="af8"/>
    <w:uiPriority w:val="99"/>
    <w:unhideWhenUsed/>
    <w:rsid w:val="005D7116"/>
  </w:style>
  <w:style w:type="character" w:customStyle="1" w:styleId="af8">
    <w:name w:val="コメント文字列 (文字)"/>
    <w:basedOn w:val="a0"/>
    <w:link w:val="af7"/>
    <w:uiPriority w:val="99"/>
    <w:rsid w:val="005D7116"/>
    <w:rPr>
      <w:sz w:val="22"/>
    </w:rPr>
  </w:style>
  <w:style w:type="paragraph" w:styleId="af9">
    <w:name w:val="annotation subject"/>
    <w:basedOn w:val="af7"/>
    <w:next w:val="af7"/>
    <w:link w:val="afa"/>
    <w:uiPriority w:val="99"/>
    <w:semiHidden/>
    <w:unhideWhenUsed/>
    <w:rsid w:val="005D7116"/>
    <w:rPr>
      <w:b/>
      <w:bCs/>
    </w:rPr>
  </w:style>
  <w:style w:type="character" w:customStyle="1" w:styleId="afa">
    <w:name w:val="コメント内容 (文字)"/>
    <w:basedOn w:val="af8"/>
    <w:link w:val="af9"/>
    <w:uiPriority w:val="99"/>
    <w:semiHidden/>
    <w:rsid w:val="005D7116"/>
    <w:rPr>
      <w:b/>
      <w:bC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13622">
      <w:bodyDiv w:val="1"/>
      <w:marLeft w:val="0"/>
      <w:marRight w:val="0"/>
      <w:marTop w:val="0"/>
      <w:marBottom w:val="0"/>
      <w:divBdr>
        <w:top w:val="none" w:sz="0" w:space="0" w:color="auto"/>
        <w:left w:val="none" w:sz="0" w:space="0" w:color="auto"/>
        <w:bottom w:val="none" w:sz="0" w:space="0" w:color="auto"/>
        <w:right w:val="none" w:sz="0" w:space="0" w:color="auto"/>
      </w:divBdr>
      <w:divsChild>
        <w:div w:id="597061577">
          <w:marLeft w:val="0"/>
          <w:marRight w:val="0"/>
          <w:marTop w:val="0"/>
          <w:marBottom w:val="0"/>
          <w:divBdr>
            <w:top w:val="none" w:sz="0" w:space="0" w:color="auto"/>
            <w:left w:val="none" w:sz="0" w:space="0" w:color="auto"/>
            <w:bottom w:val="none" w:sz="0" w:space="0" w:color="auto"/>
            <w:right w:val="none" w:sz="0" w:space="0" w:color="auto"/>
          </w:divBdr>
          <w:divsChild>
            <w:div w:id="1854952101">
              <w:marLeft w:val="0"/>
              <w:marRight w:val="0"/>
              <w:marTop w:val="0"/>
              <w:marBottom w:val="0"/>
              <w:divBdr>
                <w:top w:val="none" w:sz="0" w:space="0" w:color="auto"/>
                <w:left w:val="none" w:sz="0" w:space="0" w:color="auto"/>
                <w:bottom w:val="none" w:sz="0" w:space="0" w:color="auto"/>
                <w:right w:val="none" w:sz="0" w:space="0" w:color="auto"/>
              </w:divBdr>
              <w:divsChild>
                <w:div w:id="402877404">
                  <w:marLeft w:val="0"/>
                  <w:marRight w:val="0"/>
                  <w:marTop w:val="0"/>
                  <w:marBottom w:val="0"/>
                  <w:divBdr>
                    <w:top w:val="none" w:sz="0" w:space="0" w:color="auto"/>
                    <w:left w:val="none" w:sz="0" w:space="0" w:color="auto"/>
                    <w:bottom w:val="none" w:sz="0" w:space="0" w:color="auto"/>
                    <w:right w:val="none" w:sz="0" w:space="0" w:color="auto"/>
                  </w:divBdr>
                  <w:divsChild>
                    <w:div w:id="2008749642">
                      <w:marLeft w:val="0"/>
                      <w:marRight w:val="0"/>
                      <w:marTop w:val="0"/>
                      <w:marBottom w:val="0"/>
                      <w:divBdr>
                        <w:top w:val="single" w:sz="6" w:space="0" w:color="auto"/>
                        <w:left w:val="none" w:sz="0" w:space="0" w:color="auto"/>
                        <w:bottom w:val="none" w:sz="0" w:space="0" w:color="auto"/>
                        <w:right w:val="none" w:sz="0" w:space="0" w:color="auto"/>
                      </w:divBdr>
                      <w:divsChild>
                        <w:div w:id="1311135329">
                          <w:marLeft w:val="0"/>
                          <w:marRight w:val="0"/>
                          <w:marTop w:val="0"/>
                          <w:marBottom w:val="0"/>
                          <w:divBdr>
                            <w:top w:val="none" w:sz="0" w:space="0" w:color="auto"/>
                            <w:left w:val="none" w:sz="0" w:space="0" w:color="auto"/>
                            <w:bottom w:val="none" w:sz="0" w:space="0" w:color="auto"/>
                            <w:right w:val="none" w:sz="0" w:space="0" w:color="auto"/>
                          </w:divBdr>
                          <w:divsChild>
                            <w:div w:id="701780679">
                              <w:marLeft w:val="0"/>
                              <w:marRight w:val="0"/>
                              <w:marTop w:val="0"/>
                              <w:marBottom w:val="0"/>
                              <w:divBdr>
                                <w:top w:val="none" w:sz="0" w:space="0" w:color="auto"/>
                                <w:left w:val="none" w:sz="0" w:space="0" w:color="auto"/>
                                <w:bottom w:val="none" w:sz="0" w:space="0" w:color="auto"/>
                                <w:right w:val="none" w:sz="0" w:space="0" w:color="auto"/>
                              </w:divBdr>
                              <w:divsChild>
                                <w:div w:id="63527693">
                                  <w:marLeft w:val="0"/>
                                  <w:marRight w:val="0"/>
                                  <w:marTop w:val="0"/>
                                  <w:marBottom w:val="0"/>
                                  <w:divBdr>
                                    <w:top w:val="none" w:sz="0" w:space="0" w:color="auto"/>
                                    <w:left w:val="none" w:sz="0" w:space="0" w:color="auto"/>
                                    <w:bottom w:val="none" w:sz="0" w:space="0" w:color="auto"/>
                                    <w:right w:val="none" w:sz="0" w:space="0" w:color="auto"/>
                                  </w:divBdr>
                                  <w:divsChild>
                                    <w:div w:id="825902452">
                                      <w:marLeft w:val="0"/>
                                      <w:marRight w:val="0"/>
                                      <w:marTop w:val="0"/>
                                      <w:marBottom w:val="0"/>
                                      <w:divBdr>
                                        <w:top w:val="none" w:sz="0" w:space="0" w:color="auto"/>
                                        <w:left w:val="none" w:sz="0" w:space="0" w:color="auto"/>
                                        <w:bottom w:val="none" w:sz="0" w:space="0" w:color="auto"/>
                                        <w:right w:val="none" w:sz="0" w:space="0" w:color="auto"/>
                                      </w:divBdr>
                                      <w:divsChild>
                                        <w:div w:id="135412081">
                                          <w:marLeft w:val="0"/>
                                          <w:marRight w:val="0"/>
                                          <w:marTop w:val="0"/>
                                          <w:marBottom w:val="0"/>
                                          <w:divBdr>
                                            <w:top w:val="none" w:sz="0" w:space="0" w:color="auto"/>
                                            <w:left w:val="none" w:sz="0" w:space="0" w:color="auto"/>
                                            <w:bottom w:val="none" w:sz="0" w:space="0" w:color="auto"/>
                                            <w:right w:val="none" w:sz="0" w:space="0" w:color="auto"/>
                                          </w:divBdr>
                                          <w:divsChild>
                                            <w:div w:id="1706755803">
                                              <w:marLeft w:val="0"/>
                                              <w:marRight w:val="0"/>
                                              <w:marTop w:val="0"/>
                                              <w:marBottom w:val="0"/>
                                              <w:divBdr>
                                                <w:top w:val="none" w:sz="0" w:space="0" w:color="auto"/>
                                                <w:left w:val="none" w:sz="0" w:space="0" w:color="auto"/>
                                                <w:bottom w:val="none" w:sz="0" w:space="0" w:color="auto"/>
                                                <w:right w:val="none" w:sz="0" w:space="0" w:color="auto"/>
                                              </w:divBdr>
                                              <w:divsChild>
                                                <w:div w:id="1169060212">
                                                  <w:marLeft w:val="0"/>
                                                  <w:marRight w:val="0"/>
                                                  <w:marTop w:val="0"/>
                                                  <w:marBottom w:val="0"/>
                                                  <w:divBdr>
                                                    <w:top w:val="none" w:sz="0" w:space="0" w:color="auto"/>
                                                    <w:left w:val="none" w:sz="0" w:space="0" w:color="auto"/>
                                                    <w:bottom w:val="none" w:sz="0" w:space="0" w:color="auto"/>
                                                    <w:right w:val="none" w:sz="0" w:space="0" w:color="auto"/>
                                                  </w:divBdr>
                                                </w:div>
                                                <w:div w:id="513692130">
                                                  <w:marLeft w:val="0"/>
                                                  <w:marRight w:val="0"/>
                                                  <w:marTop w:val="0"/>
                                                  <w:marBottom w:val="0"/>
                                                  <w:divBdr>
                                                    <w:top w:val="none" w:sz="0" w:space="0" w:color="auto"/>
                                                    <w:left w:val="none" w:sz="0" w:space="0" w:color="auto"/>
                                                    <w:bottom w:val="none" w:sz="0" w:space="0" w:color="auto"/>
                                                    <w:right w:val="none" w:sz="0" w:space="0" w:color="auto"/>
                                                  </w:divBdr>
                                                  <w:divsChild>
                                                    <w:div w:id="675962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61887101">
      <w:bodyDiv w:val="1"/>
      <w:marLeft w:val="0"/>
      <w:marRight w:val="0"/>
      <w:marTop w:val="0"/>
      <w:marBottom w:val="0"/>
      <w:divBdr>
        <w:top w:val="none" w:sz="0" w:space="0" w:color="auto"/>
        <w:left w:val="none" w:sz="0" w:space="0" w:color="auto"/>
        <w:bottom w:val="none" w:sz="0" w:space="0" w:color="auto"/>
        <w:right w:val="none" w:sz="0" w:space="0" w:color="auto"/>
      </w:divBdr>
    </w:div>
    <w:div w:id="331418134">
      <w:bodyDiv w:val="1"/>
      <w:marLeft w:val="0"/>
      <w:marRight w:val="0"/>
      <w:marTop w:val="0"/>
      <w:marBottom w:val="0"/>
      <w:divBdr>
        <w:top w:val="none" w:sz="0" w:space="0" w:color="auto"/>
        <w:left w:val="none" w:sz="0" w:space="0" w:color="auto"/>
        <w:bottom w:val="none" w:sz="0" w:space="0" w:color="auto"/>
        <w:right w:val="none" w:sz="0" w:space="0" w:color="auto"/>
      </w:divBdr>
      <w:divsChild>
        <w:div w:id="1842965705">
          <w:marLeft w:val="0"/>
          <w:marRight w:val="0"/>
          <w:marTop w:val="0"/>
          <w:marBottom w:val="0"/>
          <w:divBdr>
            <w:top w:val="none" w:sz="0" w:space="0" w:color="auto"/>
            <w:left w:val="none" w:sz="0" w:space="0" w:color="auto"/>
            <w:bottom w:val="none" w:sz="0" w:space="0" w:color="auto"/>
            <w:right w:val="none" w:sz="0" w:space="0" w:color="auto"/>
          </w:divBdr>
          <w:divsChild>
            <w:div w:id="2032299248">
              <w:marLeft w:val="0"/>
              <w:marRight w:val="0"/>
              <w:marTop w:val="0"/>
              <w:marBottom w:val="0"/>
              <w:divBdr>
                <w:top w:val="none" w:sz="0" w:space="0" w:color="auto"/>
                <w:left w:val="none" w:sz="0" w:space="0" w:color="auto"/>
                <w:bottom w:val="none" w:sz="0" w:space="0" w:color="auto"/>
                <w:right w:val="none" w:sz="0" w:space="0" w:color="auto"/>
              </w:divBdr>
              <w:divsChild>
                <w:div w:id="1455177692">
                  <w:marLeft w:val="0"/>
                  <w:marRight w:val="0"/>
                  <w:marTop w:val="0"/>
                  <w:marBottom w:val="0"/>
                  <w:divBdr>
                    <w:top w:val="none" w:sz="0" w:space="0" w:color="auto"/>
                    <w:left w:val="none" w:sz="0" w:space="0" w:color="auto"/>
                    <w:bottom w:val="none" w:sz="0" w:space="0" w:color="auto"/>
                    <w:right w:val="none" w:sz="0" w:space="0" w:color="auto"/>
                  </w:divBdr>
                  <w:divsChild>
                    <w:div w:id="1031690575">
                      <w:marLeft w:val="0"/>
                      <w:marRight w:val="0"/>
                      <w:marTop w:val="0"/>
                      <w:marBottom w:val="0"/>
                      <w:divBdr>
                        <w:top w:val="single" w:sz="6" w:space="0" w:color="auto"/>
                        <w:left w:val="none" w:sz="0" w:space="0" w:color="auto"/>
                        <w:bottom w:val="none" w:sz="0" w:space="0" w:color="auto"/>
                        <w:right w:val="none" w:sz="0" w:space="0" w:color="auto"/>
                      </w:divBdr>
                      <w:divsChild>
                        <w:div w:id="245921205">
                          <w:marLeft w:val="0"/>
                          <w:marRight w:val="0"/>
                          <w:marTop w:val="0"/>
                          <w:marBottom w:val="0"/>
                          <w:divBdr>
                            <w:top w:val="none" w:sz="0" w:space="0" w:color="auto"/>
                            <w:left w:val="none" w:sz="0" w:space="0" w:color="auto"/>
                            <w:bottom w:val="none" w:sz="0" w:space="0" w:color="auto"/>
                            <w:right w:val="none" w:sz="0" w:space="0" w:color="auto"/>
                          </w:divBdr>
                          <w:divsChild>
                            <w:div w:id="2089882028">
                              <w:marLeft w:val="0"/>
                              <w:marRight w:val="0"/>
                              <w:marTop w:val="0"/>
                              <w:marBottom w:val="0"/>
                              <w:divBdr>
                                <w:top w:val="none" w:sz="0" w:space="0" w:color="auto"/>
                                <w:left w:val="none" w:sz="0" w:space="0" w:color="auto"/>
                                <w:bottom w:val="none" w:sz="0" w:space="0" w:color="auto"/>
                                <w:right w:val="none" w:sz="0" w:space="0" w:color="auto"/>
                              </w:divBdr>
                              <w:divsChild>
                                <w:div w:id="993728657">
                                  <w:marLeft w:val="0"/>
                                  <w:marRight w:val="0"/>
                                  <w:marTop w:val="0"/>
                                  <w:marBottom w:val="0"/>
                                  <w:divBdr>
                                    <w:top w:val="none" w:sz="0" w:space="0" w:color="auto"/>
                                    <w:left w:val="none" w:sz="0" w:space="0" w:color="auto"/>
                                    <w:bottom w:val="none" w:sz="0" w:space="0" w:color="auto"/>
                                    <w:right w:val="none" w:sz="0" w:space="0" w:color="auto"/>
                                  </w:divBdr>
                                  <w:divsChild>
                                    <w:div w:id="692734302">
                                      <w:marLeft w:val="0"/>
                                      <w:marRight w:val="0"/>
                                      <w:marTop w:val="0"/>
                                      <w:marBottom w:val="0"/>
                                      <w:divBdr>
                                        <w:top w:val="none" w:sz="0" w:space="0" w:color="auto"/>
                                        <w:left w:val="none" w:sz="0" w:space="0" w:color="auto"/>
                                        <w:bottom w:val="none" w:sz="0" w:space="0" w:color="auto"/>
                                        <w:right w:val="none" w:sz="0" w:space="0" w:color="auto"/>
                                      </w:divBdr>
                                      <w:divsChild>
                                        <w:div w:id="996882277">
                                          <w:marLeft w:val="0"/>
                                          <w:marRight w:val="0"/>
                                          <w:marTop w:val="0"/>
                                          <w:marBottom w:val="0"/>
                                          <w:divBdr>
                                            <w:top w:val="none" w:sz="0" w:space="0" w:color="auto"/>
                                            <w:left w:val="none" w:sz="0" w:space="0" w:color="auto"/>
                                            <w:bottom w:val="none" w:sz="0" w:space="0" w:color="auto"/>
                                            <w:right w:val="none" w:sz="0" w:space="0" w:color="auto"/>
                                          </w:divBdr>
                                          <w:divsChild>
                                            <w:div w:id="979454129">
                                              <w:marLeft w:val="0"/>
                                              <w:marRight w:val="0"/>
                                              <w:marTop w:val="0"/>
                                              <w:marBottom w:val="0"/>
                                              <w:divBdr>
                                                <w:top w:val="none" w:sz="0" w:space="0" w:color="auto"/>
                                                <w:left w:val="none" w:sz="0" w:space="0" w:color="auto"/>
                                                <w:bottom w:val="none" w:sz="0" w:space="0" w:color="auto"/>
                                                <w:right w:val="none" w:sz="0" w:space="0" w:color="auto"/>
                                              </w:divBdr>
                                              <w:divsChild>
                                                <w:div w:id="1171525142">
                                                  <w:marLeft w:val="0"/>
                                                  <w:marRight w:val="0"/>
                                                  <w:marTop w:val="0"/>
                                                  <w:marBottom w:val="0"/>
                                                  <w:divBdr>
                                                    <w:top w:val="none" w:sz="0" w:space="0" w:color="auto"/>
                                                    <w:left w:val="none" w:sz="0" w:space="0" w:color="auto"/>
                                                    <w:bottom w:val="none" w:sz="0" w:space="0" w:color="auto"/>
                                                    <w:right w:val="none" w:sz="0" w:space="0" w:color="auto"/>
                                                  </w:divBdr>
                                                </w:div>
                                                <w:div w:id="2104105554">
                                                  <w:marLeft w:val="0"/>
                                                  <w:marRight w:val="0"/>
                                                  <w:marTop w:val="0"/>
                                                  <w:marBottom w:val="0"/>
                                                  <w:divBdr>
                                                    <w:top w:val="none" w:sz="0" w:space="0" w:color="auto"/>
                                                    <w:left w:val="none" w:sz="0" w:space="0" w:color="auto"/>
                                                    <w:bottom w:val="none" w:sz="0" w:space="0" w:color="auto"/>
                                                    <w:right w:val="none" w:sz="0" w:space="0" w:color="auto"/>
                                                  </w:divBdr>
                                                  <w:divsChild>
                                                    <w:div w:id="125700984">
                                                      <w:marLeft w:val="0"/>
                                                      <w:marRight w:val="0"/>
                                                      <w:marTop w:val="0"/>
                                                      <w:marBottom w:val="0"/>
                                                      <w:divBdr>
                                                        <w:top w:val="none" w:sz="0" w:space="0" w:color="auto"/>
                                                        <w:left w:val="none" w:sz="0" w:space="0" w:color="auto"/>
                                                        <w:bottom w:val="none" w:sz="0" w:space="0" w:color="auto"/>
                                                        <w:right w:val="none" w:sz="0" w:space="0" w:color="auto"/>
                                                      </w:divBdr>
                                                      <w:divsChild>
                                                        <w:div w:id="1533376068">
                                                          <w:marLeft w:val="0"/>
                                                          <w:marRight w:val="0"/>
                                                          <w:marTop w:val="0"/>
                                                          <w:marBottom w:val="0"/>
                                                          <w:divBdr>
                                                            <w:top w:val="none" w:sz="0" w:space="0" w:color="auto"/>
                                                            <w:left w:val="none" w:sz="0" w:space="0" w:color="auto"/>
                                                            <w:bottom w:val="none" w:sz="0" w:space="0" w:color="auto"/>
                                                            <w:right w:val="none" w:sz="0" w:space="0" w:color="auto"/>
                                                          </w:divBdr>
                                                        </w:div>
                                                        <w:div w:id="1722291095">
                                                          <w:marLeft w:val="0"/>
                                                          <w:marRight w:val="0"/>
                                                          <w:marTop w:val="0"/>
                                                          <w:marBottom w:val="0"/>
                                                          <w:divBdr>
                                                            <w:top w:val="none" w:sz="0" w:space="0" w:color="auto"/>
                                                            <w:left w:val="none" w:sz="0" w:space="0" w:color="auto"/>
                                                            <w:bottom w:val="none" w:sz="0" w:space="0" w:color="auto"/>
                                                            <w:right w:val="none" w:sz="0" w:space="0" w:color="auto"/>
                                                          </w:divBdr>
                                                          <w:divsChild>
                                                            <w:div w:id="680157931">
                                                              <w:marLeft w:val="0"/>
                                                              <w:marRight w:val="0"/>
                                                              <w:marTop w:val="0"/>
                                                              <w:marBottom w:val="0"/>
                                                              <w:divBdr>
                                                                <w:top w:val="none" w:sz="0" w:space="0" w:color="auto"/>
                                                                <w:left w:val="none" w:sz="0" w:space="0" w:color="auto"/>
                                                                <w:bottom w:val="none" w:sz="0" w:space="0" w:color="auto"/>
                                                                <w:right w:val="none" w:sz="0" w:space="0" w:color="auto"/>
                                                              </w:divBdr>
                                                            </w:div>
                                                          </w:divsChild>
                                                        </w:div>
                                                        <w:div w:id="1423718976">
                                                          <w:marLeft w:val="0"/>
                                                          <w:marRight w:val="0"/>
                                                          <w:marTop w:val="0"/>
                                                          <w:marBottom w:val="0"/>
                                                          <w:divBdr>
                                                            <w:top w:val="none" w:sz="0" w:space="0" w:color="auto"/>
                                                            <w:left w:val="none" w:sz="0" w:space="0" w:color="auto"/>
                                                            <w:bottom w:val="none" w:sz="0" w:space="0" w:color="auto"/>
                                                            <w:right w:val="none" w:sz="0" w:space="0" w:color="auto"/>
                                                          </w:divBdr>
                                                          <w:divsChild>
                                                            <w:div w:id="450249568">
                                                              <w:marLeft w:val="0"/>
                                                              <w:marRight w:val="0"/>
                                                              <w:marTop w:val="0"/>
                                                              <w:marBottom w:val="0"/>
                                                              <w:divBdr>
                                                                <w:top w:val="none" w:sz="0" w:space="0" w:color="auto"/>
                                                                <w:left w:val="none" w:sz="0" w:space="0" w:color="auto"/>
                                                                <w:bottom w:val="none" w:sz="0" w:space="0" w:color="auto"/>
                                                                <w:right w:val="none" w:sz="0" w:space="0" w:color="auto"/>
                                                              </w:divBdr>
                                                            </w:div>
                                                          </w:divsChild>
                                                        </w:div>
                                                        <w:div w:id="1064791249">
                                                          <w:marLeft w:val="0"/>
                                                          <w:marRight w:val="0"/>
                                                          <w:marTop w:val="0"/>
                                                          <w:marBottom w:val="0"/>
                                                          <w:divBdr>
                                                            <w:top w:val="none" w:sz="0" w:space="0" w:color="auto"/>
                                                            <w:left w:val="none" w:sz="0" w:space="0" w:color="auto"/>
                                                            <w:bottom w:val="none" w:sz="0" w:space="0" w:color="auto"/>
                                                            <w:right w:val="none" w:sz="0" w:space="0" w:color="auto"/>
                                                          </w:divBdr>
                                                          <w:divsChild>
                                                            <w:div w:id="1302030945">
                                                              <w:marLeft w:val="0"/>
                                                              <w:marRight w:val="0"/>
                                                              <w:marTop w:val="0"/>
                                                              <w:marBottom w:val="0"/>
                                                              <w:divBdr>
                                                                <w:top w:val="none" w:sz="0" w:space="0" w:color="auto"/>
                                                                <w:left w:val="none" w:sz="0" w:space="0" w:color="auto"/>
                                                                <w:bottom w:val="none" w:sz="0" w:space="0" w:color="auto"/>
                                                                <w:right w:val="none" w:sz="0" w:space="0" w:color="auto"/>
                                                              </w:divBdr>
                                                            </w:div>
                                                          </w:divsChild>
                                                        </w:div>
                                                        <w:div w:id="1670477133">
                                                          <w:marLeft w:val="0"/>
                                                          <w:marRight w:val="0"/>
                                                          <w:marTop w:val="0"/>
                                                          <w:marBottom w:val="0"/>
                                                          <w:divBdr>
                                                            <w:top w:val="none" w:sz="0" w:space="0" w:color="auto"/>
                                                            <w:left w:val="none" w:sz="0" w:space="0" w:color="auto"/>
                                                            <w:bottom w:val="none" w:sz="0" w:space="0" w:color="auto"/>
                                                            <w:right w:val="none" w:sz="0" w:space="0" w:color="auto"/>
                                                          </w:divBdr>
                                                          <w:divsChild>
                                                            <w:div w:id="1201744167">
                                                              <w:marLeft w:val="0"/>
                                                              <w:marRight w:val="0"/>
                                                              <w:marTop w:val="0"/>
                                                              <w:marBottom w:val="0"/>
                                                              <w:divBdr>
                                                                <w:top w:val="none" w:sz="0" w:space="0" w:color="auto"/>
                                                                <w:left w:val="none" w:sz="0" w:space="0" w:color="auto"/>
                                                                <w:bottom w:val="none" w:sz="0" w:space="0" w:color="auto"/>
                                                                <w:right w:val="none" w:sz="0" w:space="0" w:color="auto"/>
                                                              </w:divBdr>
                                                            </w:div>
                                                          </w:divsChild>
                                                        </w:div>
                                                        <w:div w:id="123086170">
                                                          <w:marLeft w:val="0"/>
                                                          <w:marRight w:val="0"/>
                                                          <w:marTop w:val="0"/>
                                                          <w:marBottom w:val="0"/>
                                                          <w:divBdr>
                                                            <w:top w:val="none" w:sz="0" w:space="0" w:color="auto"/>
                                                            <w:left w:val="none" w:sz="0" w:space="0" w:color="auto"/>
                                                            <w:bottom w:val="none" w:sz="0" w:space="0" w:color="auto"/>
                                                            <w:right w:val="none" w:sz="0" w:space="0" w:color="auto"/>
                                                          </w:divBdr>
                                                          <w:divsChild>
                                                            <w:div w:id="892735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43457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翻訳法令フォント">
      <a:majorFont>
        <a:latin typeface="Century"/>
        <a:ea typeface="ＭＳ 明朝"/>
        <a:cs typeface=""/>
      </a:majorFont>
      <a:minorFont>
        <a:latin typeface="Century"/>
        <a:ea typeface="ＭＳ 明朝"/>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86898bf-cefb-439d-bacf-0afd08b16b46">
      <Terms xmlns="http://schemas.microsoft.com/office/infopath/2007/PartnerControls"/>
    </lcf76f155ced4ddcb4097134ff3c332f>
    <TaxCatchAll xmlns="2dcd27d3-182b-4427-b54d-cab30f70cc4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35DB8F6BAD04843A0D5454C3744801B" ma:contentTypeVersion="15" ma:contentTypeDescription="新しいドキュメントを作成します。" ma:contentTypeScope="" ma:versionID="cd323e30b1d4395da30615ebd3845a95">
  <xsd:schema xmlns:xsd="http://www.w3.org/2001/XMLSchema" xmlns:xs="http://www.w3.org/2001/XMLSchema" xmlns:p="http://schemas.microsoft.com/office/2006/metadata/properties" xmlns:ns2="2dcd27d3-182b-4427-b54d-cab30f70cc4e" xmlns:ns3="e86898bf-cefb-439d-bacf-0afd08b16b46" targetNamespace="http://schemas.microsoft.com/office/2006/metadata/properties" ma:root="true" ma:fieldsID="65819dbd5da39c1dd336c961db7d50d9" ns2:_="" ns3:_="">
    <xsd:import namespace="2dcd27d3-182b-4427-b54d-cab30f70cc4e"/>
    <xsd:import namespace="e86898bf-cefb-439d-bacf-0afd08b16b4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cd27d3-182b-4427-b54d-cab30f70cc4e"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9f20d3c1-f910-49c5-be53-1eef087238af}" ma:internalName="TaxCatchAll" ma:showField="CatchAllData" ma:web="2dcd27d3-182b-4427-b54d-cab30f70cc4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6898bf-cefb-439d-bacf-0afd08b16b4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4b49e024-0b2e-4a3f-ac8e-c68ceff3abf4"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661A11-0EF6-4AC9-B86A-2E16BC74FD27}">
  <ds:schemaRefs>
    <ds:schemaRef ds:uri="http://schemas.microsoft.com/office/2006/metadata/properties"/>
    <ds:schemaRef ds:uri="http://schemas.microsoft.com/office/infopath/2007/PartnerControls"/>
    <ds:schemaRef ds:uri="e86898bf-cefb-439d-bacf-0afd08b16b46"/>
    <ds:schemaRef ds:uri="2dcd27d3-182b-4427-b54d-cab30f70cc4e"/>
  </ds:schemaRefs>
</ds:datastoreItem>
</file>

<file path=customXml/itemProps2.xml><?xml version="1.0" encoding="utf-8"?>
<ds:datastoreItem xmlns:ds="http://schemas.openxmlformats.org/officeDocument/2006/customXml" ds:itemID="{92C3D739-2AF4-4E58-88DC-8642E59037F0}">
  <ds:schemaRefs>
    <ds:schemaRef ds:uri="http://schemas.microsoft.com/sharepoint/v3/contenttype/forms"/>
  </ds:schemaRefs>
</ds:datastoreItem>
</file>

<file path=customXml/itemProps3.xml><?xml version="1.0" encoding="utf-8"?>
<ds:datastoreItem xmlns:ds="http://schemas.openxmlformats.org/officeDocument/2006/customXml" ds:itemID="{29B25C7D-E64D-4CD7-B875-0C49FA1DEA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cd27d3-182b-4427-b54d-cab30f70cc4e"/>
    <ds:schemaRef ds:uri="e86898bf-cefb-439d-bacf-0afd08b16b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6821F6F-3196-40EE-9FB4-ABAE110E2C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6</Pages>
  <Words>1641</Words>
  <Characters>9354</Characters>
  <Application>Microsoft Office Word</Application>
  <DocSecurity>0</DocSecurity>
  <Lines>77</Lines>
  <Paragraphs>21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METI NAGASHIMA Yoshiaki</dc:creator>
  <cp:keywords/>
  <dc:description/>
  <cp:lastModifiedBy>栗原 淳</cp:lastModifiedBy>
  <cp:revision>10</cp:revision>
  <cp:lastPrinted>2020-01-21T08:24:00Z</cp:lastPrinted>
  <dcterms:created xsi:type="dcterms:W3CDTF">2026-05-15T08:58:00Z</dcterms:created>
  <dcterms:modified xsi:type="dcterms:W3CDTF">2026-07-06T05:25:00Z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0x010100A35DB8F6BAD04843A0D5454C3744801B</vt:lpwstr>
  </property>
</Properties>
</file>