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7A06" w14:textId="77777777" w:rsidR="00E6434C" w:rsidRPr="00E92D99" w:rsidRDefault="0053478C" w:rsidP="0053478C">
      <w:pPr>
        <w:rPr>
          <w:sz w:val="32"/>
          <w:szCs w:val="32"/>
        </w:rPr>
      </w:pPr>
      <w:r w:rsidRPr="00E92D99">
        <w:rPr>
          <w:rFonts w:hint="eastAsia"/>
          <w:sz w:val="32"/>
          <w:szCs w:val="32"/>
        </w:rPr>
        <w:t>特定デジタルプラットフォームの透明性及び公正性の向上に関する法律第四条第一項の事業の区分及び規模を定める政令</w:t>
      </w:r>
      <w:r w:rsidR="002C2B29" w:rsidRPr="00E92D99">
        <w:rPr>
          <w:rFonts w:hint="eastAsia"/>
          <w:sz w:val="32"/>
          <w:szCs w:val="32"/>
        </w:rPr>
        <w:t>（令和三年一月二十九日政令第十七号）</w:t>
      </w:r>
    </w:p>
    <w:p w14:paraId="4B270F8A" w14:textId="77777777" w:rsidR="00E6434C" w:rsidRDefault="0074390E" w:rsidP="0053478C">
      <w:r w:rsidRPr="00E92D99">
        <w:rPr>
          <w:sz w:val="32"/>
          <w:szCs w:val="32"/>
        </w:rPr>
        <w:t>Cabinet Order for Specifying the Business Category and Scale Under in Article 4, Paragraph (1) of the Act on Improving Transparency and Fairness of Specified Digital Platforms</w:t>
      </w:r>
      <w:r w:rsidR="00A37EDF" w:rsidRPr="00E92D99">
        <w:rPr>
          <w:rFonts w:hint="eastAsia"/>
          <w:sz w:val="32"/>
          <w:szCs w:val="32"/>
        </w:rPr>
        <w:t xml:space="preserve"> </w:t>
      </w:r>
      <w:r w:rsidRPr="00E92D99">
        <w:rPr>
          <w:sz w:val="32"/>
          <w:szCs w:val="32"/>
        </w:rPr>
        <w:t>(Cabinet Order No. 17 of January 29, 2021)</w:t>
      </w:r>
    </w:p>
    <w:p w14:paraId="2907865B" w14:textId="2291B034" w:rsidR="00E92D99" w:rsidRDefault="00E92D99" w:rsidP="00E92D99">
      <w:pPr>
        <w:jc w:val="right"/>
      </w:pPr>
      <w:r>
        <w:rPr>
          <w:rFonts w:cs="ＭＳ明朝" w:hint="eastAsia"/>
          <w:kern w:val="0"/>
          <w:szCs w:val="22"/>
        </w:rPr>
        <w:t>（</w:t>
      </w:r>
      <w:r w:rsidRPr="009D0596">
        <w:rPr>
          <w:rFonts w:cs="ＭＳ明朝"/>
          <w:kern w:val="0"/>
          <w:szCs w:val="22"/>
          <w:lang w:eastAsia="zh-CN"/>
        </w:rPr>
        <w:t>令和三年政令第十七号</w:t>
      </w:r>
      <w:r>
        <w:rPr>
          <w:rFonts w:cs="ＭＳ明朝" w:hint="eastAsia"/>
          <w:kern w:val="0"/>
          <w:szCs w:val="22"/>
        </w:rPr>
        <w:t>）</w:t>
      </w:r>
    </w:p>
    <w:p w14:paraId="207CD1B2" w14:textId="021D8099" w:rsidR="00E92D99" w:rsidRDefault="00E92D99" w:rsidP="00E92D99">
      <w:pPr>
        <w:jc w:val="right"/>
        <w:rPr>
          <w:rFonts w:hint="eastAsia"/>
        </w:rPr>
      </w:pPr>
      <w:r>
        <w:rPr>
          <w:rFonts w:cs="Century" w:hint="eastAsia"/>
          <w:kern w:val="0"/>
          <w:szCs w:val="22"/>
        </w:rPr>
        <w:t>(</w:t>
      </w:r>
      <w:r w:rsidRPr="009D0596">
        <w:rPr>
          <w:rFonts w:cs="Century"/>
          <w:kern w:val="0"/>
          <w:szCs w:val="22"/>
        </w:rPr>
        <w:t>Cabinet Order No. 17 of 2021</w:t>
      </w:r>
      <w:r>
        <w:rPr>
          <w:rFonts w:cs="Century" w:hint="eastAsia"/>
          <w:kern w:val="0"/>
          <w:szCs w:val="22"/>
        </w:rPr>
        <w:t>)</w:t>
      </w:r>
    </w:p>
    <w:p w14:paraId="68DFA41F" w14:textId="20BA2727" w:rsidR="00E6434C" w:rsidRDefault="0053478C" w:rsidP="0053478C">
      <w:r>
        <w:rPr>
          <w:rFonts w:hint="eastAsia"/>
        </w:rPr>
        <w:t>内閣は、特定デジタルプラットフォームの透明性及び公正性の向上に関する法律（令和二年法律第三十八号）第四条第一項の規定に基づき、この政令を制定する。</w:t>
      </w:r>
    </w:p>
    <w:p w14:paraId="0563485E" w14:textId="77777777" w:rsidR="00E6434C" w:rsidRDefault="0053478C" w:rsidP="0053478C">
      <w:r>
        <w:t>The Cabinet established this Cabinet Order pursuant to Article 4, paragraph (1) of the Act on Improving Transparency and Fairness of Specified Digital Platforms (Act No. 38 of 2020).</w:t>
      </w:r>
    </w:p>
    <w:p w14:paraId="10F3203F" w14:textId="77777777" w:rsidR="00E6434C" w:rsidRDefault="0053478C" w:rsidP="0053478C">
      <w:r>
        <w:rPr>
          <w:rFonts w:hint="eastAsia"/>
        </w:rPr>
        <w:t>１</w:t>
      </w:r>
      <w:r w:rsidR="00477F28">
        <w:rPr>
          <w:rFonts w:hint="eastAsia"/>
        </w:rPr>
        <w:t xml:space="preserve">　</w:t>
      </w:r>
      <w:r>
        <w:rPr>
          <w:rFonts w:hint="eastAsia"/>
        </w:rPr>
        <w:t>特定デジタルプラットフォームの透明性及び公正性の向上に関する法律（以下「法」という。）第四条第一項の政令で定める事業の区分は、次の表の中欄に掲げるとおりとし、同項の政令で定める規模は、当該事業の区分ごとにそれぞれ同表の下欄に掲げるとおりとする。</w:t>
      </w:r>
    </w:p>
    <w:p w14:paraId="27D429FD" w14:textId="77777777" w:rsidR="00E6434C" w:rsidRDefault="0053478C" w:rsidP="0053478C">
      <w:r>
        <w:t>(1)</w:t>
      </w:r>
      <w:r w:rsidR="00477F28">
        <w:rPr>
          <w:rFonts w:hint="eastAsia"/>
        </w:rPr>
        <w:t xml:space="preserve"> </w:t>
      </w:r>
      <w:r>
        <w:t>The business categories to be specified by Cabinet Order pursuant to Article 4, paragraph (1) of the Act on Improving Transparency and Fairness of Specified Digital Platforms (referred to as the "Act" below) are to be as stated in the middle column of the following table, and the scale of business to be specified by Cabinet Order pursuant to the same paragraph is as stated in the right-hand column for the respective business category.</w:t>
      </w:r>
    </w:p>
    <w:p w14:paraId="74E348F3" w14:textId="77777777" w:rsidR="00E6434C" w:rsidRDefault="00B83071" w:rsidP="0068178C">
      <w:r>
        <w:rPr>
          <w:rFonts w:hint="eastAsia"/>
        </w:rPr>
        <w:t xml:space="preserve">■表■　</w:t>
      </w:r>
      <w:r w:rsidRPr="00B83071">
        <w:rPr>
          <w:rFonts w:hint="eastAsia"/>
        </w:rPr>
        <w:t>政令第</w:t>
      </w:r>
      <w:r w:rsidR="008E27FA">
        <w:rPr>
          <w:rFonts w:hint="eastAsia"/>
        </w:rPr>
        <w:t>１</w:t>
      </w:r>
      <w:r w:rsidRPr="00B83071">
        <w:rPr>
          <w:rFonts w:hint="eastAsia"/>
        </w:rPr>
        <w:t>項中の表</w:t>
      </w:r>
    </w:p>
    <w:p w14:paraId="5E2F4F9D" w14:textId="77777777" w:rsidR="00E6434C" w:rsidRDefault="005C7362" w:rsidP="005C7362">
      <w:r>
        <w:rPr>
          <w:rFonts w:hint="eastAsia"/>
        </w:rPr>
        <w:t>２</w:t>
      </w:r>
      <w:r w:rsidR="00477F28">
        <w:rPr>
          <w:rFonts w:hint="eastAsia"/>
        </w:rPr>
        <w:t xml:space="preserve">　</w:t>
      </w:r>
      <w:r>
        <w:rPr>
          <w:rFonts w:hint="eastAsia"/>
        </w:rPr>
        <w:t>前項に規定するもののほか、同項の国内売上額の計算方法その他同項の規定の適用に関し必要な事項は、経済産業省令で定める。</w:t>
      </w:r>
    </w:p>
    <w:p w14:paraId="28C12994" w14:textId="77777777" w:rsidR="00E6434C" w:rsidRDefault="005C7362" w:rsidP="005C7362">
      <w:r>
        <w:t>(2)</w:t>
      </w:r>
      <w:r w:rsidR="00477F28">
        <w:rPr>
          <w:rFonts w:hint="eastAsia"/>
        </w:rPr>
        <w:t xml:space="preserve"> </w:t>
      </w:r>
      <w:r>
        <w:t>Beyond what is provided for in the preceding paragraph, the method of calculating domestic sales prescribed in the relevant paragraph and other necessary particulars concerning application of the provisions of the relevant paragraph are provided by Order of the Ministry of Economy, Trade and Industry.</w:t>
      </w:r>
    </w:p>
    <w:p w14:paraId="77EC258E" w14:textId="77777777" w:rsidR="00E6434C" w:rsidRDefault="005C7362" w:rsidP="005C7362">
      <w:r>
        <w:rPr>
          <w:rFonts w:hint="eastAsia"/>
        </w:rPr>
        <w:t>附　則</w:t>
      </w:r>
    </w:p>
    <w:p w14:paraId="3D331983" w14:textId="77777777" w:rsidR="00E6434C" w:rsidRDefault="005C7362" w:rsidP="005C7362">
      <w:r>
        <w:t>Supplementary Provisions</w:t>
      </w:r>
    </w:p>
    <w:p w14:paraId="53CFC726" w14:textId="77777777" w:rsidR="00E6434C" w:rsidRDefault="005C7362" w:rsidP="005C7362">
      <w:r>
        <w:rPr>
          <w:rFonts w:hint="eastAsia"/>
        </w:rPr>
        <w:lastRenderedPageBreak/>
        <w:t>（施行期日）</w:t>
      </w:r>
    </w:p>
    <w:p w14:paraId="364F76DA" w14:textId="77777777" w:rsidR="00E6434C" w:rsidRDefault="005C7362" w:rsidP="005C7362">
      <w:r>
        <w:t>(Effective Date)</w:t>
      </w:r>
    </w:p>
    <w:p w14:paraId="34D71594" w14:textId="77777777" w:rsidR="00E6434C" w:rsidRDefault="005C7362" w:rsidP="005C7362">
      <w:r>
        <w:rPr>
          <w:rFonts w:hint="eastAsia"/>
        </w:rPr>
        <w:t>１</w:t>
      </w:r>
      <w:r w:rsidR="00477F28">
        <w:rPr>
          <w:rFonts w:hint="eastAsia"/>
        </w:rPr>
        <w:t xml:space="preserve">　</w:t>
      </w:r>
      <w:r>
        <w:rPr>
          <w:rFonts w:hint="eastAsia"/>
        </w:rPr>
        <w:t>この政令は、法の施行の日（令和三年二月一日）から施行する。</w:t>
      </w:r>
    </w:p>
    <w:p w14:paraId="16F1CF38" w14:textId="77777777" w:rsidR="00E6434C" w:rsidRDefault="005C7362" w:rsidP="005C7362">
      <w:r>
        <w:t>(1)</w:t>
      </w:r>
      <w:r w:rsidR="00477F28">
        <w:rPr>
          <w:rFonts w:hint="eastAsia"/>
        </w:rPr>
        <w:t xml:space="preserve"> </w:t>
      </w:r>
      <w:r>
        <w:t>This Cabinet Order comes into effect as of the date on which the Act comes into effect (February 1, 2021).</w:t>
      </w:r>
    </w:p>
    <w:p w14:paraId="3CFD80F7" w14:textId="77777777" w:rsidR="00E6434C" w:rsidRDefault="005C7362" w:rsidP="005C7362">
      <w:r>
        <w:rPr>
          <w:rFonts w:hint="eastAsia"/>
        </w:rPr>
        <w:t>（公益通報者保護法別表第八号の法律を定める政令の一部改正）</w:t>
      </w:r>
    </w:p>
    <w:p w14:paraId="06DADEB8" w14:textId="77777777" w:rsidR="00E6434C" w:rsidRDefault="005C7362" w:rsidP="005C7362">
      <w:r>
        <w:t>(Partial Amendment of the Cabinet Order Designating Acts Specified in Item (viii) of the Appended Table of the Whistleblower Protection Act)</w:t>
      </w:r>
    </w:p>
    <w:p w14:paraId="3D370C0F" w14:textId="77777777" w:rsidR="00E6434C" w:rsidRDefault="005C7362" w:rsidP="005C7362">
      <w:r>
        <w:rPr>
          <w:rFonts w:hint="eastAsia"/>
        </w:rPr>
        <w:t>２</w:t>
      </w:r>
      <w:r w:rsidR="00477F28">
        <w:rPr>
          <w:rFonts w:hint="eastAsia"/>
        </w:rPr>
        <w:t xml:space="preserve">　</w:t>
      </w:r>
      <w:r>
        <w:rPr>
          <w:rFonts w:hint="eastAsia"/>
        </w:rPr>
        <w:t>公益通報者保護法別表第八号の法律を定める政令（平成十七年政令第百四十六号）の一部を次のように改正する。</w:t>
      </w:r>
    </w:p>
    <w:p w14:paraId="3A98AFFB" w14:textId="77777777" w:rsidR="00E6434C" w:rsidRDefault="005C7362" w:rsidP="005C7362">
      <w:r>
        <w:t>(2)</w:t>
      </w:r>
      <w:r w:rsidR="00477F28">
        <w:rPr>
          <w:rFonts w:hint="eastAsia"/>
        </w:rPr>
        <w:t xml:space="preserve"> </w:t>
      </w:r>
      <w:r>
        <w:t>The Cabinet Order Designating Acts Specified in Item (viii) of the Appended Table of the Whistleblower Protection Act (Cabinet Order No. 146 of 2005) is partially amended as stated below.</w:t>
      </w:r>
    </w:p>
    <w:p w14:paraId="35B9BBB6" w14:textId="77777777" w:rsidR="00E6434C" w:rsidRDefault="005C7362" w:rsidP="005C7362">
      <w:r>
        <w:rPr>
          <w:rFonts w:hint="eastAsia"/>
        </w:rPr>
        <w:t>第四百五十六号を第四百五十七号とし、第四百五十五号を第四百五十六号とし、第四百五十四号の次に次の一号を加える。</w:t>
      </w:r>
    </w:p>
    <w:p w14:paraId="60B67597" w14:textId="77777777" w:rsidR="00E6434C" w:rsidRDefault="005C7362" w:rsidP="005C7362">
      <w:r>
        <w:t>Item (cdlvi) is renumbered as item(cdlvii), item (cdlv)is renumbered as item(cdlvi), and the following item is added after item (cdliv).</w:t>
      </w:r>
    </w:p>
    <w:p w14:paraId="6D32831B" w14:textId="5E661212" w:rsidR="00E6434C" w:rsidRDefault="005C7362" w:rsidP="005C7362">
      <w:r>
        <w:rPr>
          <w:rFonts w:hint="eastAsia"/>
        </w:rPr>
        <w:t>四百五十五</w:t>
      </w:r>
      <w:r w:rsidR="00C62807">
        <w:rPr>
          <w:rFonts w:hint="eastAsia"/>
        </w:rPr>
        <w:t xml:space="preserve">　</w:t>
      </w:r>
      <w:r>
        <w:rPr>
          <w:rFonts w:hint="eastAsia"/>
        </w:rPr>
        <w:t>特定デジタルプラットフォームの透明性及び公正性の向上に関する法律（令和二年法律第三十八号）</w:t>
      </w:r>
    </w:p>
    <w:p w14:paraId="159C12DD" w14:textId="77777777" w:rsidR="00E6434C" w:rsidRDefault="00F91D7C" w:rsidP="005C7362">
      <w:r>
        <w:t>(cdlv) Act on Improving Transparency and Fairness of Digital Platforms (Act No. 38 of 2020)</w:t>
      </w:r>
    </w:p>
    <w:p w14:paraId="72E72692" w14:textId="6EE1EBEA" w:rsidR="00E6434C" w:rsidRDefault="005C7362" w:rsidP="005C7362">
      <w:r>
        <w:rPr>
          <w:rFonts w:hint="eastAsia"/>
        </w:rPr>
        <w:t xml:space="preserve">附　則　</w:t>
      </w:r>
      <w:r w:rsidR="00C62807">
        <w:rPr>
          <w:rFonts w:hint="eastAsia"/>
        </w:rPr>
        <w:t>（</w:t>
      </w:r>
      <w:r>
        <w:rPr>
          <w:rFonts w:hint="eastAsia"/>
        </w:rPr>
        <w:t>令和四年政令第二四六号</w:t>
      </w:r>
      <w:r w:rsidR="00C62807">
        <w:rPr>
          <w:rFonts w:hint="eastAsia"/>
        </w:rPr>
        <w:t>）</w:t>
      </w:r>
    </w:p>
    <w:p w14:paraId="153AFD1B" w14:textId="2B197236" w:rsidR="00E6434C" w:rsidRDefault="005C7362" w:rsidP="005C7362">
      <w:r>
        <w:t xml:space="preserve">Supplementary Provisions </w:t>
      </w:r>
      <w:r w:rsidR="00C62807">
        <w:rPr>
          <w:rFonts w:hint="eastAsia"/>
        </w:rPr>
        <w:t>(</w:t>
      </w:r>
      <w:r>
        <w:t>Cabinet Order No. 246 of 2022</w:t>
      </w:r>
      <w:r w:rsidR="00C62807">
        <w:rPr>
          <w:rFonts w:hint="eastAsia"/>
        </w:rPr>
        <w:t>)</w:t>
      </w:r>
    </w:p>
    <w:p w14:paraId="2F2B9C6B" w14:textId="1F707B64" w:rsidR="00E6434C" w:rsidRDefault="00C62807" w:rsidP="005C7362">
      <w:r>
        <w:rPr>
          <w:rFonts w:hint="eastAsia"/>
        </w:rPr>
        <w:t xml:space="preserve">１　</w:t>
      </w:r>
      <w:r w:rsidR="005C7362">
        <w:rPr>
          <w:rFonts w:hint="eastAsia"/>
        </w:rPr>
        <w:t>この政令は、令和四年八月一日から施行する。</w:t>
      </w:r>
    </w:p>
    <w:p w14:paraId="46397BA0" w14:textId="6242C383" w:rsidR="00E6434C" w:rsidRDefault="00384BA8" w:rsidP="00384BA8">
      <w:r>
        <w:t>(1)</w:t>
      </w:r>
      <w:r>
        <w:rPr>
          <w:rFonts w:hint="eastAsia"/>
        </w:rPr>
        <w:t xml:space="preserve"> </w:t>
      </w:r>
      <w:r w:rsidR="005C7362">
        <w:t>This Cabinet Order comes into force on August 1, 2022.</w:t>
      </w:r>
    </w:p>
    <w:p w14:paraId="6BBD9D26" w14:textId="00649BC3" w:rsidR="00E6434C" w:rsidRDefault="005C7362" w:rsidP="005C7362">
      <w:r>
        <w:rPr>
          <w:rFonts w:hint="eastAsia"/>
        </w:rPr>
        <w:t xml:space="preserve">附　則　</w:t>
      </w:r>
      <w:r w:rsidR="00C62807">
        <w:rPr>
          <w:rFonts w:hint="eastAsia"/>
        </w:rPr>
        <w:t>（</w:t>
      </w:r>
      <w:r>
        <w:rPr>
          <w:rFonts w:hint="eastAsia"/>
        </w:rPr>
        <w:t>令和七年政令第二七九号</w:t>
      </w:r>
      <w:r w:rsidR="00C62807">
        <w:rPr>
          <w:rFonts w:hint="eastAsia"/>
        </w:rPr>
        <w:t>）</w:t>
      </w:r>
    </w:p>
    <w:p w14:paraId="377BFE8F" w14:textId="3330C694" w:rsidR="00E6434C" w:rsidRDefault="005C7362" w:rsidP="005C7362">
      <w:r>
        <w:t xml:space="preserve">Supplementary Provisions </w:t>
      </w:r>
      <w:r w:rsidR="00C62807">
        <w:rPr>
          <w:rFonts w:hint="eastAsia"/>
        </w:rPr>
        <w:t>(</w:t>
      </w:r>
      <w:r>
        <w:t>Cabinet Order No. 279 of 2025</w:t>
      </w:r>
      <w:r w:rsidR="00C62807">
        <w:rPr>
          <w:rFonts w:hint="eastAsia"/>
        </w:rPr>
        <w:t>)</w:t>
      </w:r>
    </w:p>
    <w:p w14:paraId="67D0A3F4" w14:textId="77777777" w:rsidR="00E6434C" w:rsidRDefault="005C7362" w:rsidP="005C7362">
      <w:r>
        <w:rPr>
          <w:rFonts w:hint="eastAsia"/>
        </w:rPr>
        <w:t>（施行期日）</w:t>
      </w:r>
    </w:p>
    <w:p w14:paraId="608FE6D1" w14:textId="77777777" w:rsidR="00E6434C" w:rsidRDefault="005C7362" w:rsidP="005C7362">
      <w:r>
        <w:t>(Effective Date)</w:t>
      </w:r>
    </w:p>
    <w:p w14:paraId="4674F604" w14:textId="77777777" w:rsidR="00E6434C" w:rsidRDefault="005C7362" w:rsidP="005C7362">
      <w:r>
        <w:rPr>
          <w:rFonts w:hint="eastAsia"/>
        </w:rPr>
        <w:t>１</w:t>
      </w:r>
      <w:r w:rsidR="00477F28">
        <w:rPr>
          <w:rFonts w:hint="eastAsia"/>
        </w:rPr>
        <w:t xml:space="preserve">　</w:t>
      </w:r>
      <w:r>
        <w:rPr>
          <w:rFonts w:hint="eastAsia"/>
        </w:rPr>
        <w:t>この政令は、スマートフォンにおいて利用される特定ソフトウェアに係る競争の促進に関する法律の施行の日（令和七年十二月十八日）から施行する。</w:t>
      </w:r>
    </w:p>
    <w:p w14:paraId="5C04BCA5" w14:textId="77777777" w:rsidR="00E6434C" w:rsidRDefault="005C7362" w:rsidP="005C7362">
      <w:r>
        <w:t>(1)</w:t>
      </w:r>
      <w:r w:rsidR="00477F28">
        <w:rPr>
          <w:rFonts w:hint="eastAsia"/>
        </w:rPr>
        <w:t xml:space="preserve"> </w:t>
      </w:r>
      <w:r>
        <w:t>This Cabinet Order takes effect on the effective date of the Act on Promotion of Competition in Specified Smartphone Software (December 18, 2025).</w:t>
      </w:r>
    </w:p>
    <w:p w14:paraId="76F72B37" w14:textId="77777777" w:rsidR="00E6434C" w:rsidRDefault="005C7362" w:rsidP="005C7362">
      <w:r>
        <w:rPr>
          <w:rFonts w:hint="eastAsia"/>
        </w:rPr>
        <w:t>（特定デジタルプラットフォームの透明性及び公正性の向上に関する法律第四条第一項の事業の区分及び規模を定める政令の一部改正に伴う経過措置）</w:t>
      </w:r>
    </w:p>
    <w:p w14:paraId="1AC92754" w14:textId="77777777" w:rsidR="00E6434C" w:rsidRDefault="005C7362" w:rsidP="005C7362">
      <w:r>
        <w:t>(Transitional Measures Accompanying the Partial Amendment of the Cabinet Order for Specifying the Business Category and Scale under in Article 4, Paragraph (1) of the Act on Improving Transparency and Fairness of Specified Digital Platforms)</w:t>
      </w:r>
    </w:p>
    <w:p w14:paraId="14EFCA76" w14:textId="77777777" w:rsidR="00E6434C" w:rsidRDefault="005C7362" w:rsidP="005C7362">
      <w:r>
        <w:rPr>
          <w:rFonts w:hint="eastAsia"/>
        </w:rPr>
        <w:lastRenderedPageBreak/>
        <w:t>２</w:t>
      </w:r>
      <w:r w:rsidR="00477F28">
        <w:rPr>
          <w:rFonts w:hint="eastAsia"/>
        </w:rPr>
        <w:t xml:space="preserve">　</w:t>
      </w:r>
      <w:r>
        <w:rPr>
          <w:rFonts w:hint="eastAsia"/>
        </w:rPr>
        <w:t>前項に規定するもののほか、同項の国内売上額の計算方法その他同項の規定の適用に関し必要な事項は、経済産業省令で定める。</w:t>
      </w:r>
    </w:p>
    <w:p w14:paraId="58DF1BF0" w14:textId="77777777" w:rsidR="00E6434C" w:rsidRDefault="005C7362" w:rsidP="005C7362">
      <w:r>
        <w:t>(2)</w:t>
      </w:r>
      <w:r w:rsidR="00477F28">
        <w:rPr>
          <w:rFonts w:hint="eastAsia"/>
        </w:rPr>
        <w:t xml:space="preserve"> </w:t>
      </w:r>
      <w:r>
        <w:t>Beyond what is provided for in the preceding paragraph, the method of calculating domestic sales prescribed in the relevant paragraph and other necessary particulars concerning application of the provisions of the relevant paragraph are provided by Order of the Ministry of Economy, Trade and Industry.</w:t>
      </w:r>
    </w:p>
    <w:p w14:paraId="558E1B54" w14:textId="77777777" w:rsidR="00E6434C" w:rsidRDefault="005C7362" w:rsidP="005C7362">
      <w:r>
        <w:rPr>
          <w:rFonts w:hint="eastAsia"/>
        </w:rPr>
        <w:t>附　則</w:t>
      </w:r>
    </w:p>
    <w:p w14:paraId="7845671A" w14:textId="77777777" w:rsidR="00E6434C" w:rsidRDefault="005C7362" w:rsidP="005C7362">
      <w:r>
        <w:t>Supplementary Provisions</w:t>
      </w:r>
    </w:p>
    <w:p w14:paraId="22984D1E" w14:textId="77777777" w:rsidR="00E6434C" w:rsidRDefault="005C7362" w:rsidP="005C7362">
      <w:r>
        <w:rPr>
          <w:rFonts w:hint="eastAsia"/>
        </w:rPr>
        <w:t>（施行期日）</w:t>
      </w:r>
    </w:p>
    <w:p w14:paraId="2B49A726" w14:textId="77777777" w:rsidR="00E6434C" w:rsidRDefault="005C7362" w:rsidP="005C7362">
      <w:r>
        <w:t>(Effective Date)</w:t>
      </w:r>
    </w:p>
    <w:p w14:paraId="1C1DDE22" w14:textId="77777777" w:rsidR="00E6434C" w:rsidRDefault="005C7362" w:rsidP="005C7362">
      <w:r>
        <w:rPr>
          <w:rFonts w:hint="eastAsia"/>
        </w:rPr>
        <w:t>１</w:t>
      </w:r>
      <w:r w:rsidR="00477F28">
        <w:rPr>
          <w:rFonts w:hint="eastAsia"/>
        </w:rPr>
        <w:t xml:space="preserve">　</w:t>
      </w:r>
      <w:r>
        <w:rPr>
          <w:rFonts w:hint="eastAsia"/>
        </w:rPr>
        <w:t>この政令は、法の施行の日（令和三年二月一日）から施行する。</w:t>
      </w:r>
    </w:p>
    <w:p w14:paraId="09B345EA" w14:textId="77777777" w:rsidR="00E6434C" w:rsidRDefault="005C7362" w:rsidP="005C7362">
      <w:r>
        <w:t>(1)</w:t>
      </w:r>
      <w:r w:rsidR="00477F28">
        <w:rPr>
          <w:rFonts w:hint="eastAsia"/>
        </w:rPr>
        <w:t xml:space="preserve"> </w:t>
      </w:r>
      <w:r>
        <w:t>This Cabinet Order comes into effect as of the date on which the Act comes into effect (February 1, 2021).</w:t>
      </w:r>
    </w:p>
    <w:p w14:paraId="7E095C25" w14:textId="77777777" w:rsidR="00E6434C" w:rsidRDefault="005C7362" w:rsidP="005C7362">
      <w:r>
        <w:rPr>
          <w:rFonts w:hint="eastAsia"/>
        </w:rPr>
        <w:t>（公益通報者保護法別表第八号の法律を定める政令の一部改正）</w:t>
      </w:r>
    </w:p>
    <w:p w14:paraId="0C5DF8BB" w14:textId="77777777" w:rsidR="00E6434C" w:rsidRDefault="005C7362" w:rsidP="005C7362">
      <w:r>
        <w:t>(Partial Amendment of the Cabinet Order Designating Acts Specified in Item (viii) of the Appended Table of the Whistleblower Protection Act)</w:t>
      </w:r>
    </w:p>
    <w:p w14:paraId="05F6459B" w14:textId="77777777" w:rsidR="00E6434C" w:rsidRDefault="005C7362" w:rsidP="005C7362">
      <w:r>
        <w:rPr>
          <w:rFonts w:hint="eastAsia"/>
        </w:rPr>
        <w:t>２</w:t>
      </w:r>
      <w:r w:rsidR="00477F28">
        <w:rPr>
          <w:rFonts w:hint="eastAsia"/>
        </w:rPr>
        <w:t xml:space="preserve">　</w:t>
      </w:r>
      <w:r>
        <w:rPr>
          <w:rFonts w:hint="eastAsia"/>
        </w:rPr>
        <w:t>公益通報者保護法別表第八号の法律を定める政令（平成十七年政令第百四十六号）の一部を次のように改正する。</w:t>
      </w:r>
    </w:p>
    <w:p w14:paraId="4F3EDC46" w14:textId="77777777" w:rsidR="00E6434C" w:rsidRDefault="005C7362" w:rsidP="005C7362">
      <w:r>
        <w:t>(2)</w:t>
      </w:r>
      <w:r w:rsidR="00477F28">
        <w:rPr>
          <w:rFonts w:hint="eastAsia"/>
        </w:rPr>
        <w:t xml:space="preserve"> </w:t>
      </w:r>
      <w:r>
        <w:t>The Cabinet Order Designating Acts Specified in Item (viii) of the Appended Table of the Whistleblower Protection Act (Cabinet Order No. 146 of 2005) is partially amended as stated below.</w:t>
      </w:r>
    </w:p>
    <w:p w14:paraId="30D25382" w14:textId="77777777" w:rsidR="00E6434C" w:rsidRDefault="005C7362" w:rsidP="005C7362">
      <w:r>
        <w:rPr>
          <w:rFonts w:hint="eastAsia"/>
        </w:rPr>
        <w:t>第四百五十六号を第四百五十七号とし、第四百五十五号を第四百五十六号とし、第四百五十四号の次に次の一号を加える。</w:t>
      </w:r>
    </w:p>
    <w:p w14:paraId="68A4E95E" w14:textId="77777777" w:rsidR="00E6434C" w:rsidRDefault="005C7362" w:rsidP="005C7362">
      <w:r>
        <w:t>Item (cdlvi) is renumbered as item(cdlvii), item (cdlv)is renumbered as item(cdlvi), and the following item is added after item (cdliv).</w:t>
      </w:r>
    </w:p>
    <w:p w14:paraId="4B56888F" w14:textId="034335F0" w:rsidR="00E6434C" w:rsidRDefault="005C7362" w:rsidP="005C7362">
      <w:r>
        <w:rPr>
          <w:rFonts w:hint="eastAsia"/>
        </w:rPr>
        <w:t>四百五十五</w:t>
      </w:r>
      <w:r w:rsidR="008421AB">
        <w:rPr>
          <w:rFonts w:hint="eastAsia"/>
        </w:rPr>
        <w:t xml:space="preserve">　</w:t>
      </w:r>
      <w:r>
        <w:rPr>
          <w:rFonts w:hint="eastAsia"/>
        </w:rPr>
        <w:t>特定デジタルプラットフォームの透明性及び公正性の向上に関する法律（令和二年法律第三十八号）</w:t>
      </w:r>
    </w:p>
    <w:p w14:paraId="26236A66" w14:textId="77777777" w:rsidR="00E6434C" w:rsidRDefault="00F91D7C" w:rsidP="005C7362">
      <w:r>
        <w:t>(cdlv) Act on Improving Transparency and Fairness of Digital Platforms (Act No. 38 of 2020)</w:t>
      </w:r>
    </w:p>
    <w:p w14:paraId="458658D4" w14:textId="48C72945" w:rsidR="00E6434C" w:rsidRDefault="005C7362" w:rsidP="005C7362">
      <w:r>
        <w:rPr>
          <w:rFonts w:hint="eastAsia"/>
        </w:rPr>
        <w:t xml:space="preserve">附　則　</w:t>
      </w:r>
      <w:r w:rsidR="008421AB">
        <w:rPr>
          <w:rFonts w:hint="eastAsia"/>
        </w:rPr>
        <w:t>（</w:t>
      </w:r>
      <w:r>
        <w:rPr>
          <w:rFonts w:hint="eastAsia"/>
        </w:rPr>
        <w:t>令和四年政令第二四六号</w:t>
      </w:r>
      <w:r w:rsidR="008421AB">
        <w:rPr>
          <w:rFonts w:hint="eastAsia"/>
        </w:rPr>
        <w:t>）</w:t>
      </w:r>
    </w:p>
    <w:p w14:paraId="683E906B" w14:textId="02D8B451" w:rsidR="00E6434C" w:rsidRDefault="005C7362" w:rsidP="005C7362">
      <w:r>
        <w:t xml:space="preserve">Supplementary Provisions </w:t>
      </w:r>
      <w:r w:rsidR="008421AB">
        <w:rPr>
          <w:rFonts w:hint="eastAsia"/>
        </w:rPr>
        <w:t>(</w:t>
      </w:r>
      <w:r>
        <w:t>Cabinet Order No. 246 of 2022</w:t>
      </w:r>
      <w:r w:rsidR="008421AB">
        <w:rPr>
          <w:rFonts w:hint="eastAsia"/>
        </w:rPr>
        <w:t>)</w:t>
      </w:r>
    </w:p>
    <w:p w14:paraId="450B425F" w14:textId="3EA1CB62" w:rsidR="00E6434C" w:rsidRDefault="008421AB" w:rsidP="005C7362">
      <w:r>
        <w:rPr>
          <w:rFonts w:hint="eastAsia"/>
        </w:rPr>
        <w:t xml:space="preserve">１　</w:t>
      </w:r>
      <w:r w:rsidR="005C7362">
        <w:rPr>
          <w:rFonts w:hint="eastAsia"/>
        </w:rPr>
        <w:t>この政令は、令和四年八月一日から施行する。</w:t>
      </w:r>
    </w:p>
    <w:p w14:paraId="6A0EB680" w14:textId="3D93F2EC" w:rsidR="00E6434C" w:rsidRDefault="00384BA8" w:rsidP="00384BA8">
      <w:r>
        <w:t>(1)</w:t>
      </w:r>
      <w:r>
        <w:rPr>
          <w:rFonts w:hint="eastAsia"/>
        </w:rPr>
        <w:t xml:space="preserve"> </w:t>
      </w:r>
      <w:r w:rsidR="005C7362">
        <w:t>This Cabinet Order comes into force on August 1, 2022.</w:t>
      </w:r>
    </w:p>
    <w:p w14:paraId="27805687" w14:textId="277A414D" w:rsidR="00E6434C" w:rsidRDefault="005C7362" w:rsidP="005C7362">
      <w:r>
        <w:rPr>
          <w:rFonts w:hint="eastAsia"/>
        </w:rPr>
        <w:t xml:space="preserve">附　則　</w:t>
      </w:r>
      <w:r w:rsidR="008421AB">
        <w:rPr>
          <w:rFonts w:hint="eastAsia"/>
        </w:rPr>
        <w:t>（</w:t>
      </w:r>
      <w:r>
        <w:rPr>
          <w:rFonts w:hint="eastAsia"/>
        </w:rPr>
        <w:t>令和七年政令第二七九号</w:t>
      </w:r>
      <w:r w:rsidR="008421AB">
        <w:rPr>
          <w:rFonts w:hint="eastAsia"/>
        </w:rPr>
        <w:t>）</w:t>
      </w:r>
    </w:p>
    <w:p w14:paraId="0DFDD500" w14:textId="05A3CB99" w:rsidR="00E6434C" w:rsidRDefault="005C7362" w:rsidP="005C7362">
      <w:r>
        <w:t xml:space="preserve">Supplementary Provisions </w:t>
      </w:r>
      <w:r w:rsidR="008421AB">
        <w:rPr>
          <w:rFonts w:hint="eastAsia"/>
        </w:rPr>
        <w:t>(</w:t>
      </w:r>
      <w:r>
        <w:t>Cabinet Order No. 279 of 2025</w:t>
      </w:r>
      <w:r w:rsidR="008421AB">
        <w:rPr>
          <w:rFonts w:hint="eastAsia"/>
        </w:rPr>
        <w:t>)</w:t>
      </w:r>
    </w:p>
    <w:p w14:paraId="2E52F20F" w14:textId="77777777" w:rsidR="00E6434C" w:rsidRDefault="005C7362" w:rsidP="005C7362">
      <w:r>
        <w:rPr>
          <w:rFonts w:hint="eastAsia"/>
        </w:rPr>
        <w:t>（施行期日）</w:t>
      </w:r>
    </w:p>
    <w:p w14:paraId="7111F51D" w14:textId="77777777" w:rsidR="00E6434C" w:rsidRDefault="005C7362" w:rsidP="005C7362">
      <w:r>
        <w:t>(Effective Date)</w:t>
      </w:r>
    </w:p>
    <w:p w14:paraId="7335B44A" w14:textId="77777777" w:rsidR="00E6434C" w:rsidRDefault="005C7362" w:rsidP="005C7362">
      <w:r>
        <w:rPr>
          <w:rFonts w:hint="eastAsia"/>
        </w:rPr>
        <w:t>１</w:t>
      </w:r>
      <w:r w:rsidR="00477F28">
        <w:rPr>
          <w:rFonts w:hint="eastAsia"/>
        </w:rPr>
        <w:t xml:space="preserve">　</w:t>
      </w:r>
      <w:r>
        <w:rPr>
          <w:rFonts w:hint="eastAsia"/>
        </w:rPr>
        <w:t>この政令は、スマートフォンにおいて利用される特定ソフトウェアに係る競争の促進に関する法律の施行の日（令和七年十二月十八日）から施行する。</w:t>
      </w:r>
    </w:p>
    <w:p w14:paraId="771D39CC" w14:textId="77777777" w:rsidR="00E6434C" w:rsidRDefault="005C7362" w:rsidP="005C7362">
      <w:r>
        <w:lastRenderedPageBreak/>
        <w:t>(1)</w:t>
      </w:r>
      <w:r w:rsidR="00477F28">
        <w:rPr>
          <w:rFonts w:hint="eastAsia"/>
        </w:rPr>
        <w:t xml:space="preserve"> </w:t>
      </w:r>
      <w:r>
        <w:t>This Cabinet Order takes effect on the effective date of the Act on Promotion of Competition in Specified Smartphone Software (December 18, 2025).</w:t>
      </w:r>
    </w:p>
    <w:p w14:paraId="7358A06C" w14:textId="77777777" w:rsidR="00E6434C" w:rsidRDefault="005C7362" w:rsidP="005C7362">
      <w:r>
        <w:rPr>
          <w:rFonts w:hint="eastAsia"/>
        </w:rPr>
        <w:t>（特定デジタルプラットフォームの透明性及び公正性の向上に関する法律第四条第一項の事業の区分及び規模を定める政令の一部改正に伴う経過措置）</w:t>
      </w:r>
    </w:p>
    <w:p w14:paraId="33E847E3" w14:textId="77777777" w:rsidR="00E6434C" w:rsidRDefault="005C7362" w:rsidP="005C7362">
      <w:r>
        <w:t>(Transitional Measures Accompanying the Partial Amendment of the Cabinet Order for Specifying the Business Category and Scale under in Article 4, Paragraph (1) of the Act on Improving Transparency and Fairness of Specified Digital Platforms)</w:t>
      </w:r>
    </w:p>
    <w:p w14:paraId="31499D26" w14:textId="77777777" w:rsidR="00E6434C" w:rsidRDefault="005C7362" w:rsidP="005C7362">
      <w:r>
        <w:rPr>
          <w:rFonts w:hint="eastAsia"/>
        </w:rPr>
        <w:t>２</w:t>
      </w:r>
      <w:r w:rsidR="00477F28">
        <w:rPr>
          <w:rFonts w:hint="eastAsia"/>
        </w:rPr>
        <w:t xml:space="preserve">　</w:t>
      </w:r>
      <w:r>
        <w:rPr>
          <w:rFonts w:hint="eastAsia"/>
        </w:rPr>
        <w:t>第四条の規定の施行前にした行為に係る特定デジタルプラットフォームの透明性及び公正性の向上に関する法律第六条第一項及び第四項、第八条第一項、第十条第三項並びに第十二条第二項及び第三項の規定による勧告、命令、報告及び検査その他の行為については、なお従前の例による。</w:t>
      </w:r>
    </w:p>
    <w:p w14:paraId="289063DB" w14:textId="77777777" w:rsidR="00E6434C" w:rsidRDefault="005C7362" w:rsidP="005C7362">
      <w:r>
        <w:t>(2) With regard to recommendations, orders, reports, inspections, and other actions pursuant to the provisions of Article 6, paragraphs (1) and (4), Article 8, paragraph (1), Article 10, paragraph (3), and Article 12, paragraphs (2) and (3) of the Act on Improving Transparency and Fairness of Specified Digital Platforms, for acts committed prior to the enforcement of the provisions of Article 4, the previous provisions shall remain applicable.</w:t>
      </w:r>
    </w:p>
    <w:p w14:paraId="1C62DEDB" w14:textId="77777777" w:rsidR="00E6434C" w:rsidRDefault="005C7362" w:rsidP="005C7362">
      <w:r>
        <w:rPr>
          <w:rFonts w:hint="eastAsia"/>
        </w:rPr>
        <w:t>３</w:t>
      </w:r>
      <w:r w:rsidR="00477F28">
        <w:rPr>
          <w:rFonts w:hint="eastAsia"/>
        </w:rPr>
        <w:t xml:space="preserve">　</w:t>
      </w:r>
      <w:r>
        <w:rPr>
          <w:rFonts w:hint="eastAsia"/>
        </w:rPr>
        <w:t>第四条の規定の施行前にした行為及び前項の規定によりなお従前の例によることとされる場合における同条の規定の施行後にした行為に対する罰則の適用については、なお従前の例による。</w:t>
      </w:r>
    </w:p>
    <w:p w14:paraId="31719128" w14:textId="77777777" w:rsidR="00E6434C" w:rsidRDefault="005C7362" w:rsidP="005C7362">
      <w:r>
        <w:t>(3) With regard to the application of penalties for acts committed prior to the enforcement of the provisions of Article 4, and for acts committed after the enforcement of the provisions of Article 4 in cases where the previous provisions continue to apply pursuant to the preceding paragraph, the previous provisions shall remain applicable.</w:t>
      </w:r>
    </w:p>
    <w:p w14:paraId="064B6FA5" w14:textId="7D0B315C" w:rsidR="005C7362" w:rsidRPr="0068178C" w:rsidRDefault="005C7362" w:rsidP="0068178C"/>
    <w:sectPr w:rsidR="005C7362" w:rsidRPr="0068178C" w:rsidSect="0053478C">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340" w:footer="340" w:gutter="0"/>
      <w:cols w:space="425"/>
      <w:docGrid w:type="linesAndChars" w:linePitch="335"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BDBD" w14:textId="77777777" w:rsidR="00D65987" w:rsidRDefault="00D65987" w:rsidP="003C0825">
      <w:r>
        <w:separator/>
      </w:r>
    </w:p>
  </w:endnote>
  <w:endnote w:type="continuationSeparator" w:id="0">
    <w:p w14:paraId="1B661EE7" w14:textId="77777777" w:rsidR="00D65987" w:rsidRDefault="00D6598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CA0" w14:textId="77777777" w:rsidR="00E6434C" w:rsidRDefault="00E643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8CE8" w14:textId="77777777" w:rsidR="00E6434C" w:rsidRDefault="00E643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212D" w14:textId="77777777" w:rsidR="00E6434C" w:rsidRDefault="00E643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5546" w14:textId="77777777" w:rsidR="00D65987" w:rsidRDefault="00D65987" w:rsidP="003C0825">
      <w:r>
        <w:separator/>
      </w:r>
    </w:p>
  </w:footnote>
  <w:footnote w:type="continuationSeparator" w:id="0">
    <w:p w14:paraId="67C6EA70" w14:textId="77777777" w:rsidR="00D65987" w:rsidRDefault="00D6598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1729" w14:textId="77777777" w:rsidR="00E6434C" w:rsidRDefault="00E643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D15C" w14:textId="77777777" w:rsidR="00E6434C" w:rsidRDefault="00E643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64C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B4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5BA7B08"/>
    <w:multiLevelType w:val="hybridMultilevel"/>
    <w:tmpl w:val="C64E353E"/>
    <w:lvl w:ilvl="0" w:tplc="99EEEE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9D219F"/>
    <w:multiLevelType w:val="hybridMultilevel"/>
    <w:tmpl w:val="23168DB0"/>
    <w:lvl w:ilvl="0" w:tplc="EC0AF2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60647B"/>
    <w:multiLevelType w:val="hybridMultilevel"/>
    <w:tmpl w:val="40660C6A"/>
    <w:lvl w:ilvl="0" w:tplc="5F56FE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BD6C71"/>
    <w:multiLevelType w:val="hybridMultilevel"/>
    <w:tmpl w:val="D15A1E4A"/>
    <w:lvl w:ilvl="0" w:tplc="5F280E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0265275">
    <w:abstractNumId w:val="0"/>
  </w:num>
  <w:num w:numId="2" w16cid:durableId="22679995">
    <w:abstractNumId w:val="2"/>
  </w:num>
  <w:num w:numId="3" w16cid:durableId="2031879956">
    <w:abstractNumId w:val="3"/>
  </w:num>
  <w:num w:numId="4" w16cid:durableId="860709158">
    <w:abstractNumId w:val="4"/>
  </w:num>
  <w:num w:numId="5" w16cid:durableId="66659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3B"/>
    <w:rsid w:val="000060AB"/>
    <w:rsid w:val="000146A9"/>
    <w:rsid w:val="000508D1"/>
    <w:rsid w:val="00052B25"/>
    <w:rsid w:val="00052C20"/>
    <w:rsid w:val="0006131C"/>
    <w:rsid w:val="000714D7"/>
    <w:rsid w:val="000800FA"/>
    <w:rsid w:val="000B5C88"/>
    <w:rsid w:val="000E4BEF"/>
    <w:rsid w:val="00110596"/>
    <w:rsid w:val="00117FBB"/>
    <w:rsid w:val="00120AD4"/>
    <w:rsid w:val="0012704F"/>
    <w:rsid w:val="001270B0"/>
    <w:rsid w:val="001343C4"/>
    <w:rsid w:val="00173AC4"/>
    <w:rsid w:val="001950D4"/>
    <w:rsid w:val="001A1B43"/>
    <w:rsid w:val="001D7903"/>
    <w:rsid w:val="001E6C54"/>
    <w:rsid w:val="001F229C"/>
    <w:rsid w:val="00206F1D"/>
    <w:rsid w:val="00215E21"/>
    <w:rsid w:val="00234E6F"/>
    <w:rsid w:val="002773B1"/>
    <w:rsid w:val="0028110A"/>
    <w:rsid w:val="002852B0"/>
    <w:rsid w:val="002B3920"/>
    <w:rsid w:val="002C2B29"/>
    <w:rsid w:val="002C7C55"/>
    <w:rsid w:val="002D5097"/>
    <w:rsid w:val="002D6E62"/>
    <w:rsid w:val="002E6F42"/>
    <w:rsid w:val="002F134B"/>
    <w:rsid w:val="002F2744"/>
    <w:rsid w:val="00300736"/>
    <w:rsid w:val="003010B9"/>
    <w:rsid w:val="00306230"/>
    <w:rsid w:val="003111E6"/>
    <w:rsid w:val="0032491E"/>
    <w:rsid w:val="003270BA"/>
    <w:rsid w:val="003273C3"/>
    <w:rsid w:val="00327709"/>
    <w:rsid w:val="00342DA1"/>
    <w:rsid w:val="00363364"/>
    <w:rsid w:val="00374BA6"/>
    <w:rsid w:val="00380AFB"/>
    <w:rsid w:val="00381329"/>
    <w:rsid w:val="00384BA8"/>
    <w:rsid w:val="003A16E1"/>
    <w:rsid w:val="003C0825"/>
    <w:rsid w:val="003D2FE9"/>
    <w:rsid w:val="003E3C40"/>
    <w:rsid w:val="003F0D31"/>
    <w:rsid w:val="00415E57"/>
    <w:rsid w:val="00423133"/>
    <w:rsid w:val="0046326C"/>
    <w:rsid w:val="00477F28"/>
    <w:rsid w:val="00482008"/>
    <w:rsid w:val="0048572D"/>
    <w:rsid w:val="0049010A"/>
    <w:rsid w:val="00490603"/>
    <w:rsid w:val="004953F2"/>
    <w:rsid w:val="004B463C"/>
    <w:rsid w:val="004C02E7"/>
    <w:rsid w:val="004D5356"/>
    <w:rsid w:val="004E033B"/>
    <w:rsid w:val="00503AEA"/>
    <w:rsid w:val="00516719"/>
    <w:rsid w:val="00533ECD"/>
    <w:rsid w:val="0053478C"/>
    <w:rsid w:val="00543975"/>
    <w:rsid w:val="00553CC8"/>
    <w:rsid w:val="00564DE9"/>
    <w:rsid w:val="00574E90"/>
    <w:rsid w:val="00580695"/>
    <w:rsid w:val="00581EA0"/>
    <w:rsid w:val="00582C84"/>
    <w:rsid w:val="005A70DB"/>
    <w:rsid w:val="005B2C63"/>
    <w:rsid w:val="005B74F9"/>
    <w:rsid w:val="005C4773"/>
    <w:rsid w:val="005C5442"/>
    <w:rsid w:val="005C7362"/>
    <w:rsid w:val="005D124A"/>
    <w:rsid w:val="005D4B4F"/>
    <w:rsid w:val="005E2DD3"/>
    <w:rsid w:val="005F2683"/>
    <w:rsid w:val="006064F2"/>
    <w:rsid w:val="00615671"/>
    <w:rsid w:val="00615AD1"/>
    <w:rsid w:val="00626C88"/>
    <w:rsid w:val="00640743"/>
    <w:rsid w:val="006437C8"/>
    <w:rsid w:val="00646A18"/>
    <w:rsid w:val="00646BD7"/>
    <w:rsid w:val="00676275"/>
    <w:rsid w:val="0068178C"/>
    <w:rsid w:val="006B1E6D"/>
    <w:rsid w:val="006C0AD1"/>
    <w:rsid w:val="006D39BF"/>
    <w:rsid w:val="006D761B"/>
    <w:rsid w:val="006D7F6D"/>
    <w:rsid w:val="00704955"/>
    <w:rsid w:val="00704A61"/>
    <w:rsid w:val="00712B71"/>
    <w:rsid w:val="0071550C"/>
    <w:rsid w:val="00724294"/>
    <w:rsid w:val="00725204"/>
    <w:rsid w:val="0072651D"/>
    <w:rsid w:val="0074390E"/>
    <w:rsid w:val="007A7F73"/>
    <w:rsid w:val="007B05C5"/>
    <w:rsid w:val="007C5893"/>
    <w:rsid w:val="007C6101"/>
    <w:rsid w:val="007E7B52"/>
    <w:rsid w:val="0080263F"/>
    <w:rsid w:val="00805309"/>
    <w:rsid w:val="00807B5E"/>
    <w:rsid w:val="0081041C"/>
    <w:rsid w:val="00823E1A"/>
    <w:rsid w:val="008248C2"/>
    <w:rsid w:val="008351E7"/>
    <w:rsid w:val="00835782"/>
    <w:rsid w:val="008421AB"/>
    <w:rsid w:val="00854164"/>
    <w:rsid w:val="00862660"/>
    <w:rsid w:val="00880D7F"/>
    <w:rsid w:val="00885E52"/>
    <w:rsid w:val="00896D7C"/>
    <w:rsid w:val="008A0756"/>
    <w:rsid w:val="008A16E3"/>
    <w:rsid w:val="008B6018"/>
    <w:rsid w:val="008C73D1"/>
    <w:rsid w:val="008E27FA"/>
    <w:rsid w:val="008F3AC7"/>
    <w:rsid w:val="008F6802"/>
    <w:rsid w:val="00911B58"/>
    <w:rsid w:val="00933F69"/>
    <w:rsid w:val="00981B64"/>
    <w:rsid w:val="00995B4E"/>
    <w:rsid w:val="009A4EE7"/>
    <w:rsid w:val="009B1DA2"/>
    <w:rsid w:val="009C16E7"/>
    <w:rsid w:val="009C2889"/>
    <w:rsid w:val="009D0596"/>
    <w:rsid w:val="009F084A"/>
    <w:rsid w:val="009F1401"/>
    <w:rsid w:val="009F48A5"/>
    <w:rsid w:val="00A10268"/>
    <w:rsid w:val="00A26DF4"/>
    <w:rsid w:val="00A3184E"/>
    <w:rsid w:val="00A323D2"/>
    <w:rsid w:val="00A37EDF"/>
    <w:rsid w:val="00A54856"/>
    <w:rsid w:val="00A56A6B"/>
    <w:rsid w:val="00A60B3B"/>
    <w:rsid w:val="00AB4545"/>
    <w:rsid w:val="00AB4FCA"/>
    <w:rsid w:val="00AD5704"/>
    <w:rsid w:val="00AD7DF6"/>
    <w:rsid w:val="00AE01A1"/>
    <w:rsid w:val="00B22FC5"/>
    <w:rsid w:val="00B33D05"/>
    <w:rsid w:val="00B60A86"/>
    <w:rsid w:val="00B73CB6"/>
    <w:rsid w:val="00B755AF"/>
    <w:rsid w:val="00B83071"/>
    <w:rsid w:val="00BB027D"/>
    <w:rsid w:val="00BB08AD"/>
    <w:rsid w:val="00BF6B5C"/>
    <w:rsid w:val="00C030AE"/>
    <w:rsid w:val="00C11B59"/>
    <w:rsid w:val="00C260B1"/>
    <w:rsid w:val="00C36AE3"/>
    <w:rsid w:val="00C62807"/>
    <w:rsid w:val="00C704E7"/>
    <w:rsid w:val="00C735E1"/>
    <w:rsid w:val="00C74A13"/>
    <w:rsid w:val="00C8764A"/>
    <w:rsid w:val="00C9072D"/>
    <w:rsid w:val="00C921D2"/>
    <w:rsid w:val="00CE6391"/>
    <w:rsid w:val="00D56B1C"/>
    <w:rsid w:val="00D613E7"/>
    <w:rsid w:val="00D65987"/>
    <w:rsid w:val="00D97A3E"/>
    <w:rsid w:val="00DB1A89"/>
    <w:rsid w:val="00DC60FF"/>
    <w:rsid w:val="00DC69D8"/>
    <w:rsid w:val="00DE0C39"/>
    <w:rsid w:val="00DF7133"/>
    <w:rsid w:val="00E037DD"/>
    <w:rsid w:val="00E10197"/>
    <w:rsid w:val="00E12D42"/>
    <w:rsid w:val="00E30B32"/>
    <w:rsid w:val="00E36A14"/>
    <w:rsid w:val="00E433C8"/>
    <w:rsid w:val="00E51658"/>
    <w:rsid w:val="00E5409C"/>
    <w:rsid w:val="00E6434C"/>
    <w:rsid w:val="00E92D99"/>
    <w:rsid w:val="00E97491"/>
    <w:rsid w:val="00EA2AEB"/>
    <w:rsid w:val="00EB79A6"/>
    <w:rsid w:val="00EC763D"/>
    <w:rsid w:val="00EE2315"/>
    <w:rsid w:val="00EF750F"/>
    <w:rsid w:val="00F071E0"/>
    <w:rsid w:val="00F1031C"/>
    <w:rsid w:val="00F36A47"/>
    <w:rsid w:val="00F55DDF"/>
    <w:rsid w:val="00F60773"/>
    <w:rsid w:val="00F84AA4"/>
    <w:rsid w:val="00F91D7C"/>
    <w:rsid w:val="00FB2FA2"/>
    <w:rsid w:val="00FB4985"/>
    <w:rsid w:val="00FC1CC8"/>
    <w:rsid w:val="00FD569E"/>
    <w:rsid w:val="00FF146F"/>
    <w:rsid w:val="00FF2A90"/>
    <w:rsid w:val="00FF2CC5"/>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95CAD0"/>
  <w15:chartTrackingRefBased/>
  <w15:docId w15:val="{CDF2E907-7363-49F3-9397-431E48F2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39"/>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3B"/>
    <w:rPr>
      <w:sz w:val="22"/>
    </w:rPr>
  </w:style>
  <w:style w:type="paragraph" w:styleId="1">
    <w:name w:val="heading 1"/>
    <w:basedOn w:val="a"/>
    <w:next w:val="a"/>
    <w:link w:val="10"/>
    <w:uiPriority w:val="9"/>
    <w:qFormat/>
    <w:rsid w:val="005F2683"/>
    <w:pPr>
      <w:keepNext/>
      <w:pBdr>
        <w:bottom w:val="single" w:sz="2" w:space="1" w:color="BFBFBF" w:themeColor="background1" w:themeShade="BF"/>
      </w:pBdr>
      <w:spacing w:beforeLines="50" w:before="50" w:afterLines="50" w:after="50"/>
      <w:contextualSpacing/>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5F2683"/>
    <w:pPr>
      <w:keepNext/>
      <w:pBdr>
        <w:bottom w:val="single" w:sz="2" w:space="1" w:color="BFBFBF" w:themeColor="background1" w:themeShade="BF"/>
      </w:pBdr>
      <w:spacing w:beforeLines="50" w:before="50" w:afterLines="50" w:after="50"/>
      <w:contextualSpacing/>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5F2683"/>
    <w:pPr>
      <w:keepNext/>
      <w:spacing w:beforeLines="50" w:before="50" w:afterLines="50" w:after="50"/>
      <w:contextualSpacing/>
      <w:outlineLvl w:val="2"/>
    </w:pPr>
    <w:rPr>
      <w:rFonts w:asciiTheme="majorHAnsi" w:eastAsiaTheme="majorEastAsia" w:hAnsiTheme="majorHAnsi" w:cstheme="majorBidi"/>
      <w:b/>
    </w:rPr>
  </w:style>
  <w:style w:type="paragraph" w:styleId="4">
    <w:name w:val="heading 4"/>
    <w:basedOn w:val="a"/>
    <w:next w:val="a"/>
    <w:link w:val="40"/>
    <w:uiPriority w:val="9"/>
    <w:unhideWhenUsed/>
    <w:qFormat/>
    <w:rsid w:val="0068178C"/>
    <w:pPr>
      <w:keepNext/>
      <w:outlineLvl w:val="3"/>
    </w:pPr>
    <w:rPr>
      <w:rFonts w:asciiTheme="majorHAnsi" w:eastAsiaTheme="majorEastAsia" w:hAnsiTheme="majorHAnsi"/>
      <w:b/>
      <w:bCs/>
      <w:color w:val="7F7F7F" w:themeColor="text1" w:themeTint="80"/>
    </w:rPr>
  </w:style>
  <w:style w:type="paragraph" w:styleId="5">
    <w:name w:val="heading 5"/>
    <w:basedOn w:val="a"/>
    <w:next w:val="a"/>
    <w:link w:val="50"/>
    <w:uiPriority w:val="9"/>
    <w:semiHidden/>
    <w:unhideWhenUsed/>
    <w:qFormat/>
    <w:rsid w:val="00A60B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B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B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B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B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b">
    <w:name w:val="line number"/>
    <w:basedOn w:val="a0"/>
    <w:uiPriority w:val="39"/>
    <w:rsid w:val="003E3C40"/>
    <w:rPr>
      <w:rFonts w:ascii="Yu Gothic" w:eastAsia="Yu Gothic"/>
      <w:sz w:val="16"/>
    </w:rPr>
  </w:style>
  <w:style w:type="character" w:styleId="ac">
    <w:name w:val="Hyperlink"/>
    <w:basedOn w:val="a0"/>
    <w:uiPriority w:val="99"/>
    <w:unhideWhenUsed/>
    <w:rsid w:val="002773B1"/>
    <w:rPr>
      <w:color w:val="0000FF"/>
      <w:u w:val="single"/>
    </w:rPr>
  </w:style>
  <w:style w:type="character" w:styleId="ad">
    <w:name w:val="FollowedHyperlink"/>
    <w:basedOn w:val="a0"/>
    <w:uiPriority w:val="99"/>
    <w:semiHidden/>
    <w:unhideWhenUsed/>
    <w:rsid w:val="008248C2"/>
    <w:rPr>
      <w:color w:val="800080" w:themeColor="followedHyperlink"/>
      <w:u w:val="single"/>
    </w:rPr>
  </w:style>
  <w:style w:type="paragraph" w:styleId="ae">
    <w:name w:val="List Paragraph"/>
    <w:basedOn w:val="a"/>
    <w:uiPriority w:val="34"/>
    <w:qFormat/>
    <w:rsid w:val="00C8764A"/>
    <w:pPr>
      <w:ind w:leftChars="400" w:left="840"/>
    </w:pPr>
  </w:style>
  <w:style w:type="character" w:customStyle="1" w:styleId="10">
    <w:name w:val="見出し 1 (文字)"/>
    <w:basedOn w:val="a0"/>
    <w:link w:val="1"/>
    <w:uiPriority w:val="9"/>
    <w:rsid w:val="005F2683"/>
    <w:rPr>
      <w:rFonts w:asciiTheme="majorHAnsi" w:eastAsiaTheme="majorEastAsia" w:hAnsiTheme="majorHAnsi" w:cstheme="majorBidi"/>
      <w:b/>
      <w:sz w:val="28"/>
      <w:szCs w:val="24"/>
    </w:rPr>
  </w:style>
  <w:style w:type="character" w:customStyle="1" w:styleId="20">
    <w:name w:val="見出し 2 (文字)"/>
    <w:basedOn w:val="a0"/>
    <w:link w:val="2"/>
    <w:uiPriority w:val="9"/>
    <w:rsid w:val="005F2683"/>
    <w:rPr>
      <w:rFonts w:asciiTheme="majorHAnsi" w:eastAsiaTheme="majorEastAsia" w:hAnsiTheme="majorHAnsi" w:cstheme="majorBidi"/>
      <w:b/>
      <w:sz w:val="24"/>
    </w:rPr>
  </w:style>
  <w:style w:type="character" w:customStyle="1" w:styleId="30">
    <w:name w:val="見出し 3 (文字)"/>
    <w:basedOn w:val="a0"/>
    <w:link w:val="3"/>
    <w:uiPriority w:val="9"/>
    <w:rsid w:val="005F2683"/>
    <w:rPr>
      <w:rFonts w:asciiTheme="majorHAnsi" w:eastAsiaTheme="majorEastAsia" w:hAnsiTheme="majorHAnsi" w:cstheme="majorBidi"/>
      <w:b/>
      <w:sz w:val="22"/>
    </w:rPr>
  </w:style>
  <w:style w:type="character" w:customStyle="1" w:styleId="40">
    <w:name w:val="見出し 4 (文字)"/>
    <w:basedOn w:val="a0"/>
    <w:link w:val="4"/>
    <w:uiPriority w:val="9"/>
    <w:rsid w:val="0068178C"/>
    <w:rPr>
      <w:rFonts w:asciiTheme="majorHAnsi" w:eastAsiaTheme="majorEastAsia" w:hAnsiTheme="majorHAnsi"/>
      <w:b/>
      <w:bCs/>
      <w:color w:val="7F7F7F" w:themeColor="text1" w:themeTint="80"/>
    </w:rPr>
  </w:style>
  <w:style w:type="paragraph" w:styleId="af">
    <w:name w:val="No Spacing"/>
    <w:uiPriority w:val="1"/>
    <w:qFormat/>
    <w:rsid w:val="00AE01A1"/>
    <w:pPr>
      <w:widowControl w:val="0"/>
      <w:snapToGrid w:val="0"/>
      <w:spacing w:line="40" w:lineRule="exact"/>
      <w:jc w:val="both"/>
    </w:pPr>
  </w:style>
  <w:style w:type="character" w:customStyle="1" w:styleId="50">
    <w:name w:val="見出し 5 (文字)"/>
    <w:basedOn w:val="a0"/>
    <w:link w:val="5"/>
    <w:uiPriority w:val="9"/>
    <w:semiHidden/>
    <w:rsid w:val="00A60B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B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B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B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B3B"/>
    <w:rPr>
      <w:rFonts w:asciiTheme="majorHAnsi" w:eastAsiaTheme="majorEastAsia" w:hAnsiTheme="majorHAnsi" w:cstheme="majorBidi"/>
      <w:color w:val="000000" w:themeColor="text1"/>
    </w:rPr>
  </w:style>
  <w:style w:type="paragraph" w:styleId="af0">
    <w:name w:val="Title"/>
    <w:basedOn w:val="a"/>
    <w:next w:val="a"/>
    <w:link w:val="af1"/>
    <w:uiPriority w:val="10"/>
    <w:qFormat/>
    <w:rsid w:val="00A60B3B"/>
    <w:pPr>
      <w:spacing w:after="80"/>
      <w:contextualSpacing/>
      <w:jc w:val="center"/>
    </w:pPr>
    <w:rPr>
      <w:rFonts w:asciiTheme="majorHAnsi" w:eastAsiaTheme="majorEastAsia" w:hAnsiTheme="majorHAnsi" w:cstheme="majorBidi"/>
      <w:spacing w:val="-10"/>
      <w:kern w:val="28"/>
      <w:sz w:val="56"/>
      <w:szCs w:val="56"/>
    </w:rPr>
  </w:style>
  <w:style w:type="character" w:customStyle="1" w:styleId="af1">
    <w:name w:val="表題 (文字)"/>
    <w:basedOn w:val="a0"/>
    <w:link w:val="af0"/>
    <w:uiPriority w:val="10"/>
    <w:rsid w:val="00A60B3B"/>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A60B3B"/>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f3">
    <w:name w:val="副題 (文字)"/>
    <w:basedOn w:val="a0"/>
    <w:link w:val="af2"/>
    <w:uiPriority w:val="11"/>
    <w:rsid w:val="00A60B3B"/>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rsid w:val="00A60B3B"/>
    <w:pPr>
      <w:spacing w:before="160" w:after="160"/>
      <w:jc w:val="center"/>
    </w:pPr>
    <w:rPr>
      <w:i/>
      <w:iCs/>
      <w:color w:val="404040" w:themeColor="text1" w:themeTint="BF"/>
    </w:rPr>
  </w:style>
  <w:style w:type="character" w:customStyle="1" w:styleId="af5">
    <w:name w:val="引用文 (文字)"/>
    <w:basedOn w:val="a0"/>
    <w:link w:val="af4"/>
    <w:uiPriority w:val="29"/>
    <w:rsid w:val="00A60B3B"/>
    <w:rPr>
      <w:rFonts w:ascii="Yu Gothic" w:eastAsia="Yu Gothic"/>
      <w:i/>
      <w:iCs/>
      <w:color w:val="404040" w:themeColor="text1" w:themeTint="BF"/>
    </w:rPr>
  </w:style>
  <w:style w:type="character" w:styleId="21">
    <w:name w:val="Intense Emphasis"/>
    <w:basedOn w:val="a0"/>
    <w:uiPriority w:val="21"/>
    <w:qFormat/>
    <w:rsid w:val="00A60B3B"/>
    <w:rPr>
      <w:i/>
      <w:iCs/>
      <w:color w:val="365F91" w:themeColor="accent1" w:themeShade="BF"/>
    </w:rPr>
  </w:style>
  <w:style w:type="paragraph" w:styleId="22">
    <w:name w:val="Intense Quote"/>
    <w:basedOn w:val="a"/>
    <w:next w:val="a"/>
    <w:link w:val="23"/>
    <w:uiPriority w:val="30"/>
    <w:qFormat/>
    <w:rsid w:val="00A60B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0B3B"/>
    <w:rPr>
      <w:rFonts w:ascii="Yu Gothic" w:eastAsia="Yu Gothic"/>
      <w:i/>
      <w:iCs/>
      <w:color w:val="365F91" w:themeColor="accent1" w:themeShade="BF"/>
    </w:rPr>
  </w:style>
  <w:style w:type="character" w:styleId="24">
    <w:name w:val="Intense Reference"/>
    <w:basedOn w:val="a0"/>
    <w:uiPriority w:val="32"/>
    <w:qFormat/>
    <w:rsid w:val="00A60B3B"/>
    <w:rPr>
      <w:b/>
      <w:bCs/>
      <w:smallCaps/>
      <w:color w:val="365F91" w:themeColor="accent1" w:themeShade="BF"/>
      <w:spacing w:val="5"/>
    </w:rPr>
  </w:style>
  <w:style w:type="character" w:styleId="af6">
    <w:name w:val="annotation reference"/>
    <w:basedOn w:val="a0"/>
    <w:uiPriority w:val="99"/>
    <w:semiHidden/>
    <w:unhideWhenUsed/>
    <w:rsid w:val="0074390E"/>
    <w:rPr>
      <w:sz w:val="18"/>
      <w:szCs w:val="18"/>
    </w:rPr>
  </w:style>
  <w:style w:type="paragraph" w:styleId="af7">
    <w:name w:val="annotation text"/>
    <w:basedOn w:val="a"/>
    <w:link w:val="af8"/>
    <w:uiPriority w:val="99"/>
    <w:semiHidden/>
    <w:unhideWhenUsed/>
    <w:rsid w:val="0074390E"/>
  </w:style>
  <w:style w:type="character" w:customStyle="1" w:styleId="af8">
    <w:name w:val="コメント文字列 (文字)"/>
    <w:basedOn w:val="a0"/>
    <w:link w:val="af7"/>
    <w:uiPriority w:val="99"/>
    <w:semiHidden/>
    <w:rsid w:val="0074390E"/>
    <w:rPr>
      <w:sz w:val="22"/>
    </w:rPr>
  </w:style>
  <w:style w:type="paragraph" w:styleId="af9">
    <w:name w:val="annotation subject"/>
    <w:basedOn w:val="af7"/>
    <w:next w:val="af7"/>
    <w:link w:val="afa"/>
    <w:uiPriority w:val="99"/>
    <w:semiHidden/>
    <w:unhideWhenUsed/>
    <w:rsid w:val="0074390E"/>
    <w:rPr>
      <w:b/>
      <w:bCs/>
    </w:rPr>
  </w:style>
  <w:style w:type="character" w:customStyle="1" w:styleId="afa">
    <w:name w:val="コメント内容 (文字)"/>
    <w:basedOn w:val="af8"/>
    <w:link w:val="af9"/>
    <w:uiPriority w:val="99"/>
    <w:semiHidden/>
    <w:rsid w:val="0074390E"/>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翻訳法令フォン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E635A2D9-98DE-4D55-A3B8-1D78E7879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955</Words>
  <Characters>5448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 NAGASHIMA Yoshiaki</dc:creator>
  <cp:keywords/>
  <dc:description/>
  <cp:lastModifiedBy>栗原 淳</cp:lastModifiedBy>
  <cp:revision>10</cp:revision>
  <cp:lastPrinted>2020-01-21T08:24:00Z</cp:lastPrinted>
  <dcterms:created xsi:type="dcterms:W3CDTF">2026-05-15T09:09:00Z</dcterms:created>
  <dcterms:modified xsi:type="dcterms:W3CDTF">2026-07-06T08:58:00Z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